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0E53B7" w:rsidRPr="000E53B7" w:rsidTr="000E53B7">
        <w:trPr>
          <w:jc w:val="center"/>
        </w:trPr>
        <w:tc>
          <w:tcPr>
            <w:tcW w:w="9104" w:type="dxa"/>
            <w:hideMark/>
          </w:tcPr>
          <w:tbl>
            <w:tblPr>
              <w:tblW w:w="8789" w:type="dxa"/>
              <w:jc w:val="center"/>
              <w:tblLook w:val="01E0"/>
            </w:tblPr>
            <w:tblGrid>
              <w:gridCol w:w="2931"/>
              <w:gridCol w:w="2931"/>
              <w:gridCol w:w="2927"/>
            </w:tblGrid>
            <w:tr w:rsidR="000E53B7" w:rsidRPr="000E53B7">
              <w:trPr>
                <w:trHeight w:val="317"/>
                <w:jc w:val="center"/>
              </w:trPr>
              <w:tc>
                <w:tcPr>
                  <w:tcW w:w="2931" w:type="dxa"/>
                  <w:tcBorders>
                    <w:top w:val="nil"/>
                    <w:left w:val="nil"/>
                    <w:bottom w:val="single" w:sz="4" w:space="0" w:color="660066"/>
                    <w:right w:val="nil"/>
                  </w:tcBorders>
                  <w:vAlign w:val="center"/>
                  <w:hideMark/>
                </w:tcPr>
                <w:p w:rsidR="000E53B7" w:rsidRPr="000E53B7" w:rsidRDefault="000E53B7" w:rsidP="000E53B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E53B7">
                    <w:rPr>
                      <w:rFonts w:ascii="Arial" w:eastAsia="Times New Roman" w:hAnsi="Arial" w:cs="Arial"/>
                      <w:sz w:val="16"/>
                      <w:szCs w:val="16"/>
                      <w:lang w:eastAsia="tr-TR"/>
                    </w:rPr>
                    <w:t xml:space="preserve">9 Haziran </w:t>
                  </w:r>
                  <w:proofErr w:type="gramStart"/>
                  <w:r w:rsidRPr="000E53B7">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0E53B7" w:rsidRPr="000E53B7" w:rsidRDefault="000E53B7" w:rsidP="000E53B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E53B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E53B7" w:rsidRPr="000E53B7" w:rsidRDefault="000E53B7" w:rsidP="000E53B7">
                  <w:pPr>
                    <w:spacing w:before="100" w:beforeAutospacing="1" w:after="100" w:afterAutospacing="1" w:line="240" w:lineRule="auto"/>
                    <w:jc w:val="right"/>
                    <w:rPr>
                      <w:rFonts w:ascii="Arial" w:eastAsia="Times New Roman" w:hAnsi="Arial" w:cs="Arial"/>
                      <w:b/>
                      <w:sz w:val="16"/>
                      <w:szCs w:val="16"/>
                      <w:lang w:eastAsia="tr-TR"/>
                    </w:rPr>
                  </w:pPr>
                  <w:proofErr w:type="gramStart"/>
                  <w:r w:rsidRPr="000E53B7">
                    <w:rPr>
                      <w:rFonts w:ascii="Arial" w:eastAsia="Times New Roman" w:hAnsi="Arial" w:cs="Arial"/>
                      <w:sz w:val="16"/>
                      <w:szCs w:val="16"/>
                      <w:lang w:eastAsia="tr-TR"/>
                    </w:rPr>
                    <w:t>Sayı : 29025</w:t>
                  </w:r>
                  <w:proofErr w:type="gramEnd"/>
                </w:p>
              </w:tc>
            </w:tr>
            <w:tr w:rsidR="000E53B7" w:rsidRPr="000E53B7">
              <w:trPr>
                <w:trHeight w:val="480"/>
                <w:jc w:val="center"/>
              </w:trPr>
              <w:tc>
                <w:tcPr>
                  <w:tcW w:w="8789" w:type="dxa"/>
                  <w:gridSpan w:val="3"/>
                  <w:vAlign w:val="center"/>
                  <w:hideMark/>
                </w:tcPr>
                <w:p w:rsidR="000E53B7" w:rsidRPr="000E53B7" w:rsidRDefault="000E53B7" w:rsidP="000E53B7">
                  <w:pPr>
                    <w:spacing w:before="100" w:beforeAutospacing="1" w:after="100" w:afterAutospacing="1" w:line="240" w:lineRule="auto"/>
                    <w:jc w:val="center"/>
                    <w:rPr>
                      <w:rFonts w:ascii="Arial" w:eastAsia="Times New Roman" w:hAnsi="Arial" w:cs="Arial"/>
                      <w:b/>
                      <w:color w:val="000080"/>
                      <w:sz w:val="18"/>
                      <w:szCs w:val="18"/>
                      <w:lang w:eastAsia="tr-TR"/>
                    </w:rPr>
                  </w:pPr>
                  <w:r w:rsidRPr="000E53B7">
                    <w:rPr>
                      <w:rFonts w:ascii="Arial" w:eastAsia="Times New Roman" w:hAnsi="Arial" w:cs="Arial"/>
                      <w:b/>
                      <w:color w:val="000080"/>
                      <w:sz w:val="18"/>
                      <w:szCs w:val="18"/>
                      <w:lang w:eastAsia="tr-TR"/>
                    </w:rPr>
                    <w:t>YÖNETMELİK</w:t>
                  </w:r>
                </w:p>
              </w:tc>
            </w:tr>
            <w:tr w:rsidR="000E53B7" w:rsidRPr="000E53B7">
              <w:trPr>
                <w:trHeight w:val="480"/>
                <w:jc w:val="center"/>
              </w:trPr>
              <w:tc>
                <w:tcPr>
                  <w:tcW w:w="8789" w:type="dxa"/>
                  <w:gridSpan w:val="3"/>
                  <w:vAlign w:val="center"/>
                </w:tcPr>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u w:val="single"/>
                    </w:rPr>
                  </w:pPr>
                  <w:r w:rsidRPr="000E53B7">
                    <w:rPr>
                      <w:rFonts w:ascii="Times New Roman" w:eastAsia="ヒラギノ明朝 Pro W3" w:hAnsi="Times New Roman" w:cs="Times New Roman"/>
                      <w:sz w:val="18"/>
                      <w:szCs w:val="18"/>
                      <w:u w:val="single"/>
                    </w:rPr>
                    <w:t>Pamukkale Üniversitesinden:</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 xml:space="preserve">PAMUKKALE ÜNİVERSİTESİ YAŞAM BOYU DİKKAT EKSİKLİĞİ </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 xml:space="preserve">VE HİPERAKTİVİTE UYGULAMA VE ARAŞTIRMA </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MERKEZİ YÖNETMELİĞİ</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BİRİNCİ BÖLÜM</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Amaç, Kapsam, Dayanak ve Tanımlar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Amaç</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1 – </w:t>
                  </w:r>
                  <w:r w:rsidRPr="000E53B7">
                    <w:rPr>
                      <w:rFonts w:ascii="Times New Roman" w:eastAsia="ヒラギノ明朝 Pro W3" w:hAnsi="Times New Roman" w:cs="Times New Roman"/>
                      <w:sz w:val="18"/>
                      <w:szCs w:val="18"/>
                    </w:rPr>
                    <w:t xml:space="preserve">(1) Bu Yönetmeliğin amacı; Pamukkale Üniversitesi Yaşam Boyu Dikkat Eksikliği ve </w:t>
                  </w:r>
                  <w:proofErr w:type="spellStart"/>
                  <w:r w:rsidRPr="000E53B7">
                    <w:rPr>
                      <w:rFonts w:ascii="Times New Roman" w:eastAsia="ヒラギノ明朝 Pro W3" w:hAnsi="Times New Roman" w:cs="Times New Roman"/>
                      <w:sz w:val="18"/>
                      <w:szCs w:val="18"/>
                    </w:rPr>
                    <w:t>Hiperaktivite</w:t>
                  </w:r>
                  <w:proofErr w:type="spellEnd"/>
                  <w:r w:rsidRPr="000E53B7">
                    <w:rPr>
                      <w:rFonts w:ascii="Times New Roman" w:eastAsia="ヒラギノ明朝 Pro W3" w:hAnsi="Times New Roman" w:cs="Times New Roman"/>
                      <w:sz w:val="18"/>
                      <w:szCs w:val="18"/>
                    </w:rPr>
                    <w:t xml:space="preserve"> Uygulama ve Araştırma Merkezinin amaçlarına, faaliyet alanlarına ve yönetim biçimine ilişkin çalışma usul ve esaslarını düzenlemektir.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Kapsam</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2 – </w:t>
                  </w:r>
                  <w:r w:rsidRPr="000E53B7">
                    <w:rPr>
                      <w:rFonts w:ascii="Times New Roman" w:eastAsia="ヒラギノ明朝 Pro W3" w:hAnsi="Times New Roman" w:cs="Times New Roman"/>
                      <w:sz w:val="18"/>
                      <w:szCs w:val="18"/>
                    </w:rPr>
                    <w:t xml:space="preserve">(1) Bu Yönetmelik; Pamukkale Üniversitesi Yaşam Boyu Dikkat Eksikliği ve </w:t>
                  </w:r>
                  <w:proofErr w:type="spellStart"/>
                  <w:r w:rsidRPr="000E53B7">
                    <w:rPr>
                      <w:rFonts w:ascii="Times New Roman" w:eastAsia="ヒラギノ明朝 Pro W3" w:hAnsi="Times New Roman" w:cs="Times New Roman"/>
                      <w:sz w:val="18"/>
                      <w:szCs w:val="18"/>
                    </w:rPr>
                    <w:t>Hiperaktivite</w:t>
                  </w:r>
                  <w:proofErr w:type="spellEnd"/>
                  <w:r w:rsidRPr="000E53B7">
                    <w:rPr>
                      <w:rFonts w:ascii="Times New Roman" w:eastAsia="ヒラギノ明朝 Pro W3" w:hAnsi="Times New Roman" w:cs="Times New Roman"/>
                      <w:sz w:val="18"/>
                      <w:szCs w:val="18"/>
                    </w:rPr>
                    <w:t xml:space="preserve"> Uygulama ve Araştırma Merkezinin amaçlarına, faaliyet alanlarına, yönetim organlarına, yönetim organlarının görevlerine ve çalışma şekline ilişkin hükümleri kapsar.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Dayanak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3 – </w:t>
                  </w:r>
                  <w:r w:rsidRPr="000E53B7">
                    <w:rPr>
                      <w:rFonts w:ascii="Times New Roman" w:eastAsia="ヒラギノ明朝 Pro W3" w:hAnsi="Times New Roman" w:cs="Times New Roman"/>
                      <w:sz w:val="18"/>
                      <w:szCs w:val="18"/>
                    </w:rPr>
                    <w:t xml:space="preserve">(1) Bu Yönetmelik; </w:t>
                  </w:r>
                  <w:proofErr w:type="gramStart"/>
                  <w:r w:rsidRPr="000E53B7">
                    <w:rPr>
                      <w:rFonts w:ascii="Times New Roman" w:eastAsia="ヒラギノ明朝 Pro W3" w:hAnsi="Times New Roman" w:cs="Times New Roman"/>
                      <w:sz w:val="18"/>
                      <w:szCs w:val="18"/>
                    </w:rPr>
                    <w:t>4/11/1981</w:t>
                  </w:r>
                  <w:proofErr w:type="gramEnd"/>
                  <w:r w:rsidRPr="000E53B7">
                    <w:rPr>
                      <w:rFonts w:ascii="Times New Roman" w:eastAsia="ヒラギノ明朝 Pro W3" w:hAnsi="Times New Roman" w:cs="Times New Roman"/>
                      <w:sz w:val="18"/>
                      <w:szCs w:val="18"/>
                    </w:rPr>
                    <w:t xml:space="preserve"> tarihli ve 2547 sayılı Yükseköğretim Kanununun 7 </w:t>
                  </w:r>
                  <w:proofErr w:type="spellStart"/>
                  <w:r w:rsidRPr="000E53B7">
                    <w:rPr>
                      <w:rFonts w:ascii="Times New Roman" w:eastAsia="ヒラギノ明朝 Pro W3" w:hAnsi="Times New Roman" w:cs="Times New Roman"/>
                      <w:sz w:val="18"/>
                      <w:szCs w:val="18"/>
                    </w:rPr>
                    <w:t>nci</w:t>
                  </w:r>
                  <w:proofErr w:type="spellEnd"/>
                  <w:r w:rsidRPr="000E53B7">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Tanımlar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4 – </w:t>
                  </w:r>
                  <w:r w:rsidRPr="000E53B7">
                    <w:rPr>
                      <w:rFonts w:ascii="Times New Roman" w:eastAsia="ヒラギノ明朝 Pro W3" w:hAnsi="Times New Roman" w:cs="Times New Roman"/>
                      <w:sz w:val="18"/>
                      <w:szCs w:val="18"/>
                    </w:rPr>
                    <w:t>(1) Bu Yönetmelikte geçen;</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 xml:space="preserve">a) Danışma Kurulu: Pamukkale Üniversitesi Yaşam Boyu Dikkat Eksikliği ve </w:t>
                  </w:r>
                  <w:proofErr w:type="spellStart"/>
                  <w:r w:rsidRPr="000E53B7">
                    <w:rPr>
                      <w:rFonts w:ascii="Times New Roman" w:eastAsia="ヒラギノ明朝 Pro W3" w:hAnsi="Times New Roman" w:cs="Times New Roman"/>
                      <w:sz w:val="18"/>
                      <w:szCs w:val="18"/>
                    </w:rPr>
                    <w:t>Hiperaktivite</w:t>
                  </w:r>
                  <w:proofErr w:type="spellEnd"/>
                  <w:r w:rsidRPr="000E53B7">
                    <w:rPr>
                      <w:rFonts w:ascii="Times New Roman" w:eastAsia="ヒラギノ明朝 Pro W3" w:hAnsi="Times New Roman" w:cs="Times New Roman"/>
                      <w:sz w:val="18"/>
                      <w:szCs w:val="18"/>
                    </w:rPr>
                    <w:t xml:space="preserve"> Uygulama ve Araştırma Merkezi Danışma Kurulunu,</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 xml:space="preserve">b) Merkez: Pamukkale Üniversitesi Yaşam Boyu Dikkat Eksikliği ve </w:t>
                  </w:r>
                  <w:proofErr w:type="spellStart"/>
                  <w:r w:rsidRPr="000E53B7">
                    <w:rPr>
                      <w:rFonts w:ascii="Times New Roman" w:eastAsia="ヒラギノ明朝 Pro W3" w:hAnsi="Times New Roman" w:cs="Times New Roman"/>
                      <w:sz w:val="18"/>
                      <w:szCs w:val="18"/>
                    </w:rPr>
                    <w:t>Hiperaktivite</w:t>
                  </w:r>
                  <w:proofErr w:type="spellEnd"/>
                  <w:r w:rsidRPr="000E53B7">
                    <w:rPr>
                      <w:rFonts w:ascii="Times New Roman" w:eastAsia="ヒラギノ明朝 Pro W3" w:hAnsi="Times New Roman" w:cs="Times New Roman"/>
                      <w:sz w:val="18"/>
                      <w:szCs w:val="18"/>
                    </w:rPr>
                    <w:t xml:space="preserve"> Uygulama ve Araştırma Merkezini,</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 xml:space="preserve">c) Müdür: Pamukkale Üniversitesi Yaşam Boyu Dikkat Eksikliği ve </w:t>
                  </w:r>
                  <w:proofErr w:type="spellStart"/>
                  <w:r w:rsidRPr="000E53B7">
                    <w:rPr>
                      <w:rFonts w:ascii="Times New Roman" w:eastAsia="ヒラギノ明朝 Pro W3" w:hAnsi="Times New Roman" w:cs="Times New Roman"/>
                      <w:sz w:val="18"/>
                      <w:szCs w:val="18"/>
                    </w:rPr>
                    <w:t>Hiperaktivite</w:t>
                  </w:r>
                  <w:proofErr w:type="spellEnd"/>
                  <w:r w:rsidRPr="000E53B7">
                    <w:rPr>
                      <w:rFonts w:ascii="Times New Roman" w:eastAsia="ヒラギノ明朝 Pro W3" w:hAnsi="Times New Roman" w:cs="Times New Roman"/>
                      <w:sz w:val="18"/>
                      <w:szCs w:val="18"/>
                    </w:rPr>
                    <w:t xml:space="preserve"> Uygulama ve Araştırma Merkezi Müdürünü,</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ç) Rektör: Pamukkale Üniversitesi Rektörünü,</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d) Senato: Pamukkale Üniversitesi Senatosunu,</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e) Üniversite: Pamukkale Üniversitesini,</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 xml:space="preserve">f) Yönetim Kurulu: Pamukkale Üniversitesi Yaşam Boyu Dikkat Eksikliği ve </w:t>
                  </w:r>
                  <w:proofErr w:type="spellStart"/>
                  <w:r w:rsidRPr="000E53B7">
                    <w:rPr>
                      <w:rFonts w:ascii="Times New Roman" w:eastAsia="ヒラギノ明朝 Pro W3" w:hAnsi="Times New Roman" w:cs="Times New Roman"/>
                      <w:sz w:val="18"/>
                      <w:szCs w:val="18"/>
                    </w:rPr>
                    <w:t>Hiperaktivite</w:t>
                  </w:r>
                  <w:proofErr w:type="spellEnd"/>
                  <w:r w:rsidRPr="000E53B7">
                    <w:rPr>
                      <w:rFonts w:ascii="Times New Roman" w:eastAsia="ヒラギノ明朝 Pro W3" w:hAnsi="Times New Roman" w:cs="Times New Roman"/>
                      <w:sz w:val="18"/>
                      <w:szCs w:val="18"/>
                    </w:rPr>
                    <w:t xml:space="preserve"> Uygulama ve Araştırma Merkezi Yönetim Kurulunu,</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E53B7">
                    <w:rPr>
                      <w:rFonts w:ascii="Times New Roman" w:eastAsia="ヒラギノ明朝 Pro W3" w:hAnsi="Times New Roman" w:cs="Times New Roman"/>
                      <w:sz w:val="18"/>
                      <w:szCs w:val="18"/>
                    </w:rPr>
                    <w:t>ifade</w:t>
                  </w:r>
                  <w:proofErr w:type="gramEnd"/>
                  <w:r w:rsidRPr="000E53B7">
                    <w:rPr>
                      <w:rFonts w:ascii="Times New Roman" w:eastAsia="ヒラギノ明朝 Pro W3" w:hAnsi="Times New Roman" w:cs="Times New Roman"/>
                      <w:sz w:val="18"/>
                      <w:szCs w:val="18"/>
                    </w:rPr>
                    <w:t xml:space="preserve"> eder.</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İKİNCİ BÖLÜM</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Merkezin Amacı ve Faaliyet Alanları</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Merkezin amacı</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5 – </w:t>
                  </w:r>
                  <w:r w:rsidRPr="000E53B7">
                    <w:rPr>
                      <w:rFonts w:ascii="Times New Roman" w:eastAsia="ヒラギノ明朝 Pro W3" w:hAnsi="Times New Roman" w:cs="Times New Roman"/>
                      <w:sz w:val="18"/>
                      <w:szCs w:val="18"/>
                    </w:rPr>
                    <w:t xml:space="preserve">(1) Merkezin amacı; dikkat eksikliği ve </w:t>
                  </w:r>
                  <w:proofErr w:type="spellStart"/>
                  <w:r w:rsidRPr="000E53B7">
                    <w:rPr>
                      <w:rFonts w:ascii="Times New Roman" w:eastAsia="ヒラギノ明朝 Pro W3" w:hAnsi="Times New Roman" w:cs="Times New Roman"/>
                      <w:sz w:val="18"/>
                      <w:szCs w:val="18"/>
                    </w:rPr>
                    <w:t>hiperaktivite</w:t>
                  </w:r>
                  <w:proofErr w:type="spellEnd"/>
                  <w:r w:rsidRPr="000E53B7">
                    <w:rPr>
                      <w:rFonts w:ascii="Times New Roman" w:eastAsia="ヒラギノ明朝 Pro W3" w:hAnsi="Times New Roman" w:cs="Times New Roman"/>
                      <w:sz w:val="18"/>
                      <w:szCs w:val="18"/>
                    </w:rPr>
                    <w:t xml:space="preserve"> bozukluğu tanılı hastaların ayakta ya da yatarak tedavilerini yapmak, kısa ve uzun süreli bilgilendirme ve </w:t>
                  </w:r>
                  <w:proofErr w:type="gramStart"/>
                  <w:r w:rsidRPr="000E53B7">
                    <w:rPr>
                      <w:rFonts w:ascii="Times New Roman" w:eastAsia="ヒラギノ明朝 Pro W3" w:hAnsi="Times New Roman" w:cs="Times New Roman"/>
                      <w:sz w:val="18"/>
                      <w:szCs w:val="18"/>
                    </w:rPr>
                    <w:t>rehabilitasyonları</w:t>
                  </w:r>
                  <w:proofErr w:type="gramEnd"/>
                  <w:r w:rsidRPr="000E53B7">
                    <w:rPr>
                      <w:rFonts w:ascii="Times New Roman" w:eastAsia="ヒラギノ明朝 Pro W3" w:hAnsi="Times New Roman" w:cs="Times New Roman"/>
                      <w:sz w:val="18"/>
                      <w:szCs w:val="18"/>
                    </w:rPr>
                    <w:t xml:space="preserve"> yapmak; Merkezin faaliyet alanına giren konularda araştırma ve uygulamalar yapmak veya yapılan çalışmaları desteklemek ve bu alanda deneyimli eleman yetiştirmektir.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Merkezin faaliyet alanları</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6 – </w:t>
                  </w:r>
                  <w:r w:rsidRPr="000E53B7">
                    <w:rPr>
                      <w:rFonts w:ascii="Times New Roman" w:eastAsia="ヒラギノ明朝 Pro W3" w:hAnsi="Times New Roman" w:cs="Times New Roman"/>
                      <w:sz w:val="18"/>
                      <w:szCs w:val="18"/>
                    </w:rPr>
                    <w:t>(1) Merkezin faaliyet alanları şunlardır: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 xml:space="preserve">a) Dikkat eksikliği ve </w:t>
                  </w:r>
                  <w:proofErr w:type="spellStart"/>
                  <w:r w:rsidRPr="000E53B7">
                    <w:rPr>
                      <w:rFonts w:ascii="Times New Roman" w:eastAsia="ヒラギノ明朝 Pro W3" w:hAnsi="Times New Roman" w:cs="Times New Roman"/>
                      <w:sz w:val="18"/>
                      <w:szCs w:val="18"/>
                    </w:rPr>
                    <w:t>hiperaktivite</w:t>
                  </w:r>
                  <w:proofErr w:type="spellEnd"/>
                  <w:r w:rsidRPr="000E53B7">
                    <w:rPr>
                      <w:rFonts w:ascii="Times New Roman" w:eastAsia="ヒラギノ明朝 Pro W3" w:hAnsi="Times New Roman" w:cs="Times New Roman"/>
                      <w:sz w:val="18"/>
                      <w:szCs w:val="18"/>
                    </w:rPr>
                    <w:t xml:space="preserve"> bozukluğu konusunda bilimsel ve uygulamalı çalışmalar yapmak, yeni çalışmaların yapılmasını teşvik etmek, katkıda bulunmak.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b) Pamukkale Üniversitesi Tıp Fakültesi öğrencilerinin eğitimine katkıda bulunmak.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c) Araştırma görevlilerinin eğitimine katılmak.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ç) Merkez faaliyetleri ile ilgili kurslar, meslek içi eğitim ve sertifika programları düzenlemek.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d) Merkezin amaçları doğrultusunda ulusal ve uluslararası kuruluşlarla işbirliği yapmak.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 xml:space="preserve">e) Dikkat eksikliği ve </w:t>
                  </w:r>
                  <w:proofErr w:type="spellStart"/>
                  <w:r w:rsidRPr="000E53B7">
                    <w:rPr>
                      <w:rFonts w:ascii="Times New Roman" w:eastAsia="ヒラギノ明朝 Pro W3" w:hAnsi="Times New Roman" w:cs="Times New Roman"/>
                      <w:sz w:val="18"/>
                      <w:szCs w:val="18"/>
                    </w:rPr>
                    <w:t>hiperaktivite</w:t>
                  </w:r>
                  <w:proofErr w:type="spellEnd"/>
                  <w:r w:rsidRPr="000E53B7">
                    <w:rPr>
                      <w:rFonts w:ascii="Times New Roman" w:eastAsia="ヒラギノ明朝 Pro W3" w:hAnsi="Times New Roman" w:cs="Times New Roman"/>
                      <w:sz w:val="18"/>
                      <w:szCs w:val="18"/>
                    </w:rPr>
                    <w:t xml:space="preserve"> bozukluğu konusunda ulusal veya uluslararası toplantı, konferans ve </w:t>
                  </w:r>
                  <w:proofErr w:type="gramStart"/>
                  <w:r w:rsidRPr="000E53B7">
                    <w:rPr>
                      <w:rFonts w:ascii="Times New Roman" w:eastAsia="ヒラギノ明朝 Pro W3" w:hAnsi="Times New Roman" w:cs="Times New Roman"/>
                      <w:sz w:val="18"/>
                      <w:szCs w:val="18"/>
                    </w:rPr>
                    <w:t>sempozyumlar</w:t>
                  </w:r>
                  <w:proofErr w:type="gramEnd"/>
                  <w:r w:rsidRPr="000E53B7">
                    <w:rPr>
                      <w:rFonts w:ascii="Times New Roman" w:eastAsia="ヒラギノ明朝 Pro W3" w:hAnsi="Times New Roman" w:cs="Times New Roman"/>
                      <w:sz w:val="18"/>
                      <w:szCs w:val="18"/>
                    </w:rPr>
                    <w:t xml:space="preserve"> düzenlemek.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f) Merkezin faaliyetleri ile ilgili dergi, kitap, rapor, bülten ve benzeri yayınları yapmak.</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ÜÇÜNCÜ BÖLÜM</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Merkezin Organları ve Görevleri</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Merkezin organları</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7 – </w:t>
                  </w:r>
                  <w:r w:rsidRPr="000E53B7">
                    <w:rPr>
                      <w:rFonts w:ascii="Times New Roman" w:eastAsia="ヒラギノ明朝 Pro W3" w:hAnsi="Times New Roman" w:cs="Times New Roman"/>
                      <w:sz w:val="18"/>
                      <w:szCs w:val="18"/>
                    </w:rPr>
                    <w:t>(1) Merkezin organları şunlardır: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a) Müdür.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lastRenderedPageBreak/>
                    <w:t>b) Yönetim Kurulu.</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c) Danışma Kurulu.</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Müdür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8 – </w:t>
                  </w:r>
                  <w:r w:rsidRPr="000E53B7">
                    <w:rPr>
                      <w:rFonts w:ascii="Times New Roman" w:eastAsia="ヒラギノ明朝 Pro W3" w:hAnsi="Times New Roman" w:cs="Times New Roman"/>
                      <w:sz w:val="18"/>
                      <w:szCs w:val="18"/>
                    </w:rPr>
                    <w:t>(1) Müdür; madde bağımlılığı konusunda deneyimli psikiyatri anabilim dalı öğretim üyeleri arasından, Rektör tarafından üç yıllık süre için görevlendirilir. Süresi biten Müdür tekrar görevlendirilebilir. Müdürün kesintisiz altı aydan fazla bir süre ile görevi başında bulunmaması durumunda yeni bir Müdür görevlendirilir. Müdürün önerisi ile Yönetim Kurulu üyeleri arasından bir kişi Müdür Yardımcısı olarak görevlendirilebilir. Müdürün görevi başında olmadığı zamanlarda yerine Müdür Yardımcısı vekâlet eder. Müdürün görev süresinin dolması veya herhangi bir sebeple görevinden ayrılması halinde Müdür Yardımcısının da görevi kendiliğinden sona erer.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Müdürün görevleri</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9 – </w:t>
                  </w:r>
                  <w:r w:rsidRPr="000E53B7">
                    <w:rPr>
                      <w:rFonts w:ascii="Times New Roman" w:eastAsia="ヒラギノ明朝 Pro W3" w:hAnsi="Times New Roman" w:cs="Times New Roman"/>
                      <w:sz w:val="18"/>
                      <w:szCs w:val="18"/>
                    </w:rPr>
                    <w:t>(1) Müdürün görevleri şunlardır: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a) Merkezi temsil etmek, Yönetim Kurulu ve Danışma Kuruluna başkanlık etmek.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b) Yönetim Kurulu kararlarını uygulamak.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 xml:space="preserve">c) Merkezin amaçları doğrultusunda hastaların tedavi ve kısa süreli </w:t>
                  </w:r>
                  <w:proofErr w:type="gramStart"/>
                  <w:r w:rsidRPr="000E53B7">
                    <w:rPr>
                      <w:rFonts w:ascii="Times New Roman" w:eastAsia="ヒラギノ明朝 Pro W3" w:hAnsi="Times New Roman" w:cs="Times New Roman"/>
                      <w:sz w:val="18"/>
                      <w:szCs w:val="18"/>
                    </w:rPr>
                    <w:t>rehabilitasyonlarını</w:t>
                  </w:r>
                  <w:proofErr w:type="gramEnd"/>
                  <w:r w:rsidRPr="000E53B7">
                    <w:rPr>
                      <w:rFonts w:ascii="Times New Roman" w:eastAsia="ヒラギノ明朝 Pro W3" w:hAnsi="Times New Roman" w:cs="Times New Roman"/>
                      <w:sz w:val="18"/>
                      <w:szCs w:val="18"/>
                    </w:rPr>
                    <w:t xml:space="preserve"> sağlamak üzere gerekli fiziki alt yapı, personel, güvenlik, hasta kabul ve çıkış işlemleri konusunda Üniversite birimleri veya diğer kurum ve kuruluşlarla Merkez arasında koordinasyonu sağlamak.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ç) Merkezin idari işlerini yürütmek, gerekli koordinasyon ve denetimi sağlamak.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d) Merkezin yıllık faaliyet raporunu ve yıllık çalışma programını hazırlamak, Yönetim Kurulunun da görüşünü aldıktan sonra Rektörün onayına sunmak.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e) Merkezin kadro ihtiyaçlarını Yönetim Kurulunun onayını aldıktan sonra Rektörlüğe sunmak.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f) Merkezin amaçları doğrultusunda yapacağı tüm etkinliklerin organizasyonunu sağlamak.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Yönetim Kurulu</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10 – </w:t>
                  </w:r>
                  <w:r w:rsidRPr="000E53B7">
                    <w:rPr>
                      <w:rFonts w:ascii="Times New Roman" w:eastAsia="ヒラギノ明朝 Pro W3" w:hAnsi="Times New Roman" w:cs="Times New Roman"/>
                      <w:sz w:val="18"/>
                      <w:szCs w:val="18"/>
                    </w:rPr>
                    <w:t>(1) Yönetim Kurulu; Müdür dâhil, beş kişiden oluşur. Diğer dört üye; Merkezin faaliyet alanına giren konularda çalışan öğretim elemanları arasından, Müdürün önerisi ile Rektör tarafından, üç yıl süre ile görevlendirilir. Görev süreleri dolan üyeler yeniden görevlendirilebilir. Görev süresi bitmeden ayrılanların yerine yenileri görevlendirilir. Yönetim Kurulu, Müdürün çağrısı üzerine ayda en az bir kez salt çoğunlukla toplanır ve kararlar oy çokluğu ile alınır.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Yönetim Kurulunun görevleri</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11 – </w:t>
                  </w:r>
                  <w:r w:rsidRPr="000E53B7">
                    <w:rPr>
                      <w:rFonts w:ascii="Times New Roman" w:eastAsia="ヒラギノ明朝 Pro W3" w:hAnsi="Times New Roman" w:cs="Times New Roman"/>
                      <w:sz w:val="18"/>
                      <w:szCs w:val="18"/>
                    </w:rPr>
                    <w:t>(1) Yönetim Kurulunun görevleri şunlardır: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a) Merkez bünyesinde kurulacak olan bilimsel çalışma gruplarında görevlendirilecek öğretim elemanlarının seçimini yapmak.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b) Araştırma ve uygulama projelerini, kurs ve benzeri eğitim önerilerini bilimsel çalışma kurullarının da katkılarıyla değerlendirmek, görevlendirilecek kişi, kuruluş ve Üniversite birimlerini belirlemek.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c) Ulusal ve uluslararası kurum ve kuruluşlarla işbirliği esaslarını belirlemek.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sz w:val="18"/>
                      <w:szCs w:val="18"/>
                    </w:rPr>
                    <w:t>ç) Danışma Kurulu üyelerinin Rektör tarafından görevlendirilmesini sağlamak.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Danışma Kurulu</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12 – </w:t>
                  </w:r>
                  <w:r w:rsidRPr="000E53B7">
                    <w:rPr>
                      <w:rFonts w:ascii="Times New Roman" w:eastAsia="ヒラギノ明朝 Pro W3" w:hAnsi="Times New Roman" w:cs="Times New Roman"/>
                      <w:sz w:val="18"/>
                      <w:szCs w:val="18"/>
                    </w:rPr>
                    <w:t>(1) Danışma Kurulu; Merkezin faaliyet alanlarını kapsayan konularda çalışan veya çalışmak isteyen, Üniversite öğretim elemanları ile Pamukkale bölgesinde faaliyet gösteren kamu, özel sektör ve sivil toplum kuruluşlarınca önerilen kişiler arasından, üye sayısı on kişiden az olmayacak şekilde Yönetim Kurulunca görevlendirilecek üyelerden oluşur. Yönetim Kurulu üyeleri, Danışma Kurulu toplantılarına katılabilir. Danışma Kurulundaki Üniversite öğretim elemanlarının sayısı üye tam sayısının yarısından az olamaz. Danışma Kurulu üyelerinin görev süreleri üç yıldır. Süresi dolmadan ayrılan üyelerin yerine, kalan süreyi doldurmak üzere aynı yöntemle yenileri görevlendirilir.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Danışma Kurulunun görevleri</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13 – </w:t>
                  </w:r>
                  <w:r w:rsidRPr="000E53B7">
                    <w:rPr>
                      <w:rFonts w:ascii="Times New Roman" w:eastAsia="ヒラギノ明朝 Pro W3" w:hAnsi="Times New Roman" w:cs="Times New Roman"/>
                      <w:sz w:val="18"/>
                      <w:szCs w:val="18"/>
                    </w:rPr>
                    <w:t>(1) Danışma Kurulu; Merkezle ilgili faaliyetleri değerlendirir, Merkezin amaçları doğrultusunda çeşitli proje önerilerinde bulunur, bu projelerin gerçekleştirilmesine yönelik fikirler oluşturur, ilgili kişi ve kuruluşlarla ilişkilerin geliştirilmesine yardımcı olur, faaliyet alanı ile ilgili alt komisyonlar oluşturabilir ve bu komisyonlarda görev alacak üyeleri önerebilir. Danışma Kurulu Müdürün çağrısı üzerine yılda en az bir kez salt çoğunlukla toplanır ve kararlar oy çokluğu ile alınır.</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DÖRDÜNCÜ BÖLÜM</w:t>
                  </w:r>
                </w:p>
                <w:p w:rsidR="000E53B7" w:rsidRPr="000E53B7" w:rsidRDefault="000E53B7" w:rsidP="000E53B7">
                  <w:pPr>
                    <w:tabs>
                      <w:tab w:val="left" w:pos="566"/>
                    </w:tabs>
                    <w:spacing w:after="0" w:line="240" w:lineRule="exact"/>
                    <w:jc w:val="center"/>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Çeşitli ve Son Hükümler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Personel ihtiyacı</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14 – </w:t>
                  </w:r>
                  <w:r w:rsidRPr="000E53B7">
                    <w:rPr>
                      <w:rFonts w:ascii="Times New Roman" w:eastAsia="ヒラギノ明朝 Pro W3" w:hAnsi="Times New Roman" w:cs="Times New Roman"/>
                      <w:sz w:val="18"/>
                      <w:szCs w:val="18"/>
                    </w:rPr>
                    <w:t>(1) Merkezin akademik, teknik ve idari personel ihtiyacı, 2547 sayılı Kanunun 13 üncü maddesine göre Rektör tarafından görevlendirilecek personel tarafından karşılanır.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Sağlık hizmetleri</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15 – </w:t>
                  </w:r>
                  <w:r w:rsidRPr="000E53B7">
                    <w:rPr>
                      <w:rFonts w:ascii="Times New Roman" w:eastAsia="ヒラギノ明朝 Pro W3" w:hAnsi="Times New Roman" w:cs="Times New Roman"/>
                      <w:sz w:val="18"/>
                      <w:szCs w:val="18"/>
                    </w:rPr>
                    <w:t>(1) Merkeze gelen hastaların yatış ve çıkış işlemleri, Pamukkale Üniversitesi Sağlık Araştırma ve Uygulama Merkezi tarafından yapılır.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Harcama yetkilisi</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lastRenderedPageBreak/>
                    <w:t xml:space="preserve">MADDE 16 – </w:t>
                  </w:r>
                  <w:r w:rsidRPr="000E53B7">
                    <w:rPr>
                      <w:rFonts w:ascii="Times New Roman" w:eastAsia="ヒラギノ明朝 Pro W3" w:hAnsi="Times New Roman" w:cs="Times New Roman"/>
                      <w:sz w:val="18"/>
                      <w:szCs w:val="18"/>
                    </w:rPr>
                    <w:t>(1) Merkezin harcama yetkilisi Rektördür. Rektör bu yetkisini Rektör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E53B7">
                    <w:rPr>
                      <w:rFonts w:ascii="Times New Roman" w:eastAsia="ヒラギノ明朝 Pro W3" w:hAnsi="Times New Roman" w:cs="Times New Roman"/>
                      <w:sz w:val="18"/>
                      <w:szCs w:val="18"/>
                    </w:rPr>
                    <w:t>yardımcılarından</w:t>
                  </w:r>
                  <w:proofErr w:type="gramEnd"/>
                  <w:r w:rsidRPr="000E53B7">
                    <w:rPr>
                      <w:rFonts w:ascii="Times New Roman" w:eastAsia="ヒラギノ明朝 Pro W3" w:hAnsi="Times New Roman" w:cs="Times New Roman"/>
                      <w:sz w:val="18"/>
                      <w:szCs w:val="18"/>
                    </w:rPr>
                    <w:t xml:space="preserve"> birine ya da Müdüre devredebilir.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Hüküm bulunmayan haller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17 – </w:t>
                  </w:r>
                  <w:r w:rsidRPr="000E53B7">
                    <w:rPr>
                      <w:rFonts w:ascii="Times New Roman" w:eastAsia="ヒラギノ明朝 Pro W3" w:hAnsi="Times New Roman" w:cs="Times New Roman"/>
                      <w:sz w:val="18"/>
                      <w:szCs w:val="18"/>
                    </w:rPr>
                    <w:t>(1) Bu Yönetmelikte hüküm bulunmayan hallerde; 2547 sayılı Kanun,</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E53B7">
                    <w:rPr>
                      <w:rFonts w:ascii="Times New Roman" w:eastAsia="ヒラギノ明朝 Pro W3" w:hAnsi="Times New Roman" w:cs="Times New Roman"/>
                      <w:sz w:val="18"/>
                      <w:szCs w:val="18"/>
                    </w:rPr>
                    <w:t>ilgili</w:t>
                  </w:r>
                  <w:proofErr w:type="gramEnd"/>
                  <w:r w:rsidRPr="000E53B7">
                    <w:rPr>
                      <w:rFonts w:ascii="Times New Roman" w:eastAsia="ヒラギノ明朝 Pro W3" w:hAnsi="Times New Roman" w:cs="Times New Roman"/>
                      <w:sz w:val="18"/>
                      <w:szCs w:val="18"/>
                    </w:rPr>
                    <w:t xml:space="preserve"> mevzuat hükümleri ve Senato kararları uygulanır.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Yürürlük</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18 – </w:t>
                  </w:r>
                  <w:r w:rsidRPr="000E53B7">
                    <w:rPr>
                      <w:rFonts w:ascii="Times New Roman" w:eastAsia="ヒラギノ明朝 Pro W3" w:hAnsi="Times New Roman" w:cs="Times New Roman"/>
                      <w:sz w:val="18"/>
                      <w:szCs w:val="18"/>
                    </w:rPr>
                    <w:t>(1) Bu Yönetmelik yayımı tarihinde yürürlüğe girer.</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b/>
                      <w:sz w:val="18"/>
                      <w:szCs w:val="18"/>
                    </w:rPr>
                  </w:pPr>
                  <w:r w:rsidRPr="000E53B7">
                    <w:rPr>
                      <w:rFonts w:ascii="Times New Roman" w:eastAsia="ヒラギノ明朝 Pro W3" w:hAnsi="Times New Roman" w:cs="Times New Roman"/>
                      <w:b/>
                      <w:sz w:val="18"/>
                      <w:szCs w:val="18"/>
                    </w:rPr>
                    <w:t>Yürütme</w:t>
                  </w:r>
                </w:p>
                <w:p w:rsidR="000E53B7" w:rsidRPr="000E53B7" w:rsidRDefault="000E53B7" w:rsidP="000E53B7">
                  <w:pPr>
                    <w:tabs>
                      <w:tab w:val="left" w:pos="566"/>
                    </w:tabs>
                    <w:spacing w:after="0" w:line="240" w:lineRule="exact"/>
                    <w:ind w:firstLine="566"/>
                    <w:jc w:val="both"/>
                    <w:rPr>
                      <w:rFonts w:ascii="Times New Roman" w:eastAsia="ヒラギノ明朝 Pro W3" w:hAnsi="Times New Roman" w:cs="Times New Roman"/>
                      <w:sz w:val="18"/>
                      <w:szCs w:val="18"/>
                    </w:rPr>
                  </w:pPr>
                  <w:r w:rsidRPr="000E53B7">
                    <w:rPr>
                      <w:rFonts w:ascii="Times New Roman" w:eastAsia="ヒラギノ明朝 Pro W3" w:hAnsi="Times New Roman" w:cs="Times New Roman"/>
                      <w:b/>
                      <w:sz w:val="18"/>
                      <w:szCs w:val="18"/>
                    </w:rPr>
                    <w:t xml:space="preserve">MADDE 19 – </w:t>
                  </w:r>
                  <w:r w:rsidRPr="000E53B7">
                    <w:rPr>
                      <w:rFonts w:ascii="Times New Roman" w:eastAsia="ヒラギノ明朝 Pro W3" w:hAnsi="Times New Roman" w:cs="Times New Roman"/>
                      <w:sz w:val="18"/>
                      <w:szCs w:val="18"/>
                    </w:rPr>
                    <w:t>(1) Bu Yönetmelik hükümlerini Pamukkale Üniversitesi Rektörü yürütür.</w:t>
                  </w:r>
                </w:p>
                <w:p w:rsidR="000E53B7" w:rsidRPr="000E53B7" w:rsidRDefault="000E53B7" w:rsidP="000E53B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0E53B7" w:rsidRPr="000E53B7" w:rsidRDefault="000E53B7" w:rsidP="000E53B7">
            <w:pPr>
              <w:spacing w:after="0" w:line="240" w:lineRule="auto"/>
              <w:jc w:val="center"/>
              <w:rPr>
                <w:rFonts w:ascii="Times New Roman" w:eastAsia="Times New Roman" w:hAnsi="Times New Roman" w:cs="Times New Roman"/>
                <w:sz w:val="20"/>
                <w:szCs w:val="20"/>
                <w:lang w:eastAsia="tr-TR"/>
              </w:rPr>
            </w:pPr>
          </w:p>
        </w:tc>
      </w:tr>
    </w:tbl>
    <w:p w:rsidR="000E53B7" w:rsidRPr="000E53B7" w:rsidRDefault="000E53B7" w:rsidP="000E53B7">
      <w:pPr>
        <w:spacing w:after="0"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53B7"/>
    <w:rsid w:val="000E53B7"/>
    <w:rsid w:val="00641EBC"/>
    <w:rsid w:val="009F28AB"/>
    <w:rsid w:val="00B71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E53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0E53B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884562380">
      <w:bodyDiv w:val="1"/>
      <w:marLeft w:val="0"/>
      <w:marRight w:val="0"/>
      <w:marTop w:val="0"/>
      <w:marBottom w:val="0"/>
      <w:divBdr>
        <w:top w:val="none" w:sz="0" w:space="0" w:color="auto"/>
        <w:left w:val="none" w:sz="0" w:space="0" w:color="auto"/>
        <w:bottom w:val="none" w:sz="0" w:space="0" w:color="auto"/>
        <w:right w:val="none" w:sz="0" w:space="0" w:color="auto"/>
      </w:divBdr>
      <w:divsChild>
        <w:div w:id="1335065495">
          <w:marLeft w:val="0"/>
          <w:marRight w:val="0"/>
          <w:marTop w:val="0"/>
          <w:marBottom w:val="0"/>
          <w:divBdr>
            <w:top w:val="none" w:sz="0" w:space="0" w:color="auto"/>
            <w:left w:val="none" w:sz="0" w:space="0" w:color="auto"/>
            <w:bottom w:val="none" w:sz="0" w:space="0" w:color="auto"/>
            <w:right w:val="none" w:sz="0" w:space="0" w:color="auto"/>
          </w:divBdr>
          <w:divsChild>
            <w:div w:id="741685838">
              <w:marLeft w:val="0"/>
              <w:marRight w:val="0"/>
              <w:marTop w:val="0"/>
              <w:marBottom w:val="0"/>
              <w:divBdr>
                <w:top w:val="none" w:sz="0" w:space="0" w:color="auto"/>
                <w:left w:val="none" w:sz="0" w:space="0" w:color="auto"/>
                <w:bottom w:val="none" w:sz="0" w:space="0" w:color="auto"/>
                <w:right w:val="none" w:sz="0" w:space="0" w:color="auto"/>
              </w:divBdr>
              <w:divsChild>
                <w:div w:id="747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6580</Characters>
  <Application>Microsoft Office Word</Application>
  <DocSecurity>0</DocSecurity>
  <Lines>54</Lines>
  <Paragraphs>15</Paragraphs>
  <ScaleCrop>false</ScaleCrop>
  <Company>Pamukkale Üniversitesi</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2014-06-09T10:43:00Z</dcterms:created>
  <dcterms:modified xsi:type="dcterms:W3CDTF">2014-06-09T10:43:00Z</dcterms:modified>
</cp:coreProperties>
</file>