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97" w:rsidRDefault="00024B97" w:rsidP="00024B97"/>
    <w:p w:rsidR="00024B97" w:rsidRDefault="00024B97" w:rsidP="00024B97"/>
    <w:p w:rsidR="00024B97" w:rsidRDefault="00024B97" w:rsidP="00024B97">
      <w:pPr>
        <w:pStyle w:val="Default"/>
        <w:jc w:val="center"/>
        <w:rPr>
          <w:color w:val="FF0000"/>
          <w:sz w:val="28"/>
          <w:szCs w:val="28"/>
        </w:rPr>
      </w:pPr>
      <w:r>
        <w:rPr>
          <w:b/>
          <w:bCs/>
          <w:color w:val="FF0000"/>
          <w:sz w:val="28"/>
          <w:szCs w:val="28"/>
        </w:rPr>
        <w:t>PAMUKKALE ÜNİVERSİTESİ</w:t>
      </w:r>
    </w:p>
    <w:p w:rsidR="00024B97" w:rsidRDefault="00024B97" w:rsidP="00024B97">
      <w:pPr>
        <w:pStyle w:val="Default"/>
        <w:jc w:val="center"/>
        <w:rPr>
          <w:color w:val="FF0000"/>
          <w:sz w:val="28"/>
          <w:szCs w:val="28"/>
        </w:rPr>
      </w:pPr>
      <w:r>
        <w:rPr>
          <w:b/>
          <w:bCs/>
          <w:color w:val="FF0000"/>
          <w:sz w:val="28"/>
          <w:szCs w:val="28"/>
        </w:rPr>
        <w:t>ÖNLİSANS VE LİSANS DÜZEYİNDEKİ PROGRAMLAR ARASINDA</w:t>
      </w:r>
    </w:p>
    <w:p w:rsidR="00024B97" w:rsidRDefault="00024B97" w:rsidP="00024B97">
      <w:pPr>
        <w:pStyle w:val="Default"/>
        <w:jc w:val="center"/>
        <w:rPr>
          <w:b/>
          <w:bCs/>
          <w:color w:val="FF0000"/>
          <w:sz w:val="28"/>
          <w:szCs w:val="28"/>
        </w:rPr>
      </w:pPr>
      <w:r>
        <w:rPr>
          <w:b/>
          <w:bCs/>
          <w:color w:val="FF0000"/>
          <w:sz w:val="28"/>
          <w:szCs w:val="28"/>
        </w:rPr>
        <w:t>YATAY GE</w:t>
      </w:r>
      <w:r w:rsidR="00F72A42">
        <w:rPr>
          <w:b/>
          <w:bCs/>
          <w:color w:val="FF0000"/>
          <w:sz w:val="28"/>
          <w:szCs w:val="28"/>
        </w:rPr>
        <w:t>ÇİŞ ESASLARINA İLİŞKİN YÖNERGE-</w:t>
      </w:r>
      <w:bookmarkStart w:id="0" w:name="_GoBack"/>
      <w:bookmarkEnd w:id="0"/>
    </w:p>
    <w:p w:rsidR="00024B97" w:rsidRDefault="00024B97" w:rsidP="00024B97">
      <w:pPr>
        <w:pStyle w:val="Default"/>
        <w:jc w:val="center"/>
      </w:pPr>
    </w:p>
    <w:p w:rsidR="00024B97" w:rsidRDefault="00024B97" w:rsidP="00024B97">
      <w:pPr>
        <w:pStyle w:val="Default"/>
        <w:jc w:val="center"/>
      </w:pPr>
    </w:p>
    <w:p w:rsidR="00024B97" w:rsidRDefault="00024B97" w:rsidP="00024B97">
      <w:pPr>
        <w:pStyle w:val="Default"/>
        <w:jc w:val="center"/>
      </w:pPr>
      <w:r>
        <w:rPr>
          <w:b/>
          <w:bCs/>
        </w:rPr>
        <w:t>BİRİNCİ BÖLÜM</w:t>
      </w:r>
    </w:p>
    <w:p w:rsidR="00024B97" w:rsidRDefault="00024B97" w:rsidP="00024B97">
      <w:pPr>
        <w:pStyle w:val="Default"/>
        <w:jc w:val="center"/>
        <w:rPr>
          <w:b/>
          <w:bCs/>
        </w:rPr>
      </w:pPr>
      <w:r>
        <w:rPr>
          <w:b/>
          <w:bCs/>
        </w:rPr>
        <w:t>Amaç, Kapsam, Dayanak ve Tanımlar</w:t>
      </w:r>
    </w:p>
    <w:p w:rsidR="00024B97" w:rsidRDefault="00024B97" w:rsidP="00024B97">
      <w:pPr>
        <w:pStyle w:val="Default"/>
      </w:pPr>
    </w:p>
    <w:p w:rsidR="00024B97" w:rsidRDefault="00024B97" w:rsidP="00024B97">
      <w:pPr>
        <w:pStyle w:val="Default"/>
        <w:ind w:firstLine="708"/>
        <w:jc w:val="both"/>
      </w:pPr>
      <w:r>
        <w:rPr>
          <w:b/>
          <w:bCs/>
        </w:rPr>
        <w:t xml:space="preserve">Amaç ve kapsam </w:t>
      </w:r>
    </w:p>
    <w:p w:rsidR="00024B97" w:rsidRDefault="00024B97" w:rsidP="00024B97">
      <w:pPr>
        <w:pStyle w:val="Default"/>
        <w:ind w:firstLine="708"/>
        <w:jc w:val="both"/>
      </w:pPr>
      <w:r>
        <w:rPr>
          <w:b/>
          <w:bCs/>
        </w:rPr>
        <w:t>MADDE 1 –</w:t>
      </w:r>
      <w:r>
        <w:t xml:space="preserve">(1)Bu yönergenin amacı, </w:t>
      </w:r>
      <w:proofErr w:type="spellStart"/>
      <w:r>
        <w:t>önlisans</w:t>
      </w:r>
      <w:proofErr w:type="spellEnd"/>
      <w:r>
        <w:t xml:space="preserve"> ve lisans düzeyindeki öğrencilerin Pamukkale Üniversitesindeki fakülte, yüksekokul veya meslek yüksekokulu bünyesinde yer alan diploma programları arasında veya diğer yükseköğretim kurumlarından Pamukkale Üniversitesindeki eşdeğer/</w:t>
      </w:r>
      <w:r>
        <w:rPr>
          <w:color w:val="auto"/>
        </w:rPr>
        <w:t>farklı</w:t>
      </w:r>
      <w:r>
        <w:t xml:space="preserve"> diploma programlarına yatay geçiş usul ve esaslarını düzenlemektir.</w:t>
      </w:r>
    </w:p>
    <w:p w:rsidR="00024B97" w:rsidRDefault="00024B97" w:rsidP="00024B97">
      <w:pPr>
        <w:pStyle w:val="Default"/>
        <w:ind w:firstLine="708"/>
        <w:jc w:val="both"/>
      </w:pPr>
      <w:r>
        <w:rPr>
          <w:b/>
          <w:bCs/>
        </w:rPr>
        <w:t xml:space="preserve">Dayanak </w:t>
      </w:r>
    </w:p>
    <w:p w:rsidR="00024B97" w:rsidRDefault="00024B97" w:rsidP="00024B97">
      <w:pPr>
        <w:pStyle w:val="Default"/>
        <w:ind w:firstLine="708"/>
        <w:jc w:val="both"/>
      </w:pPr>
      <w:r>
        <w:rPr>
          <w:b/>
          <w:bCs/>
        </w:rPr>
        <w:t xml:space="preserve">MADDE 2 – </w:t>
      </w:r>
      <w:r>
        <w:t>(1)Bu yönerge, 24.04.2010 tarihli 27561 sayılı Resmi Gazete’de yayımlanan, “</w:t>
      </w:r>
      <w:r>
        <w:rPr>
          <w:iCs/>
        </w:rPr>
        <w:t>Yükseköğretim Kurumlarında Ön Lisans ve Lisans Düzeyindeki Programlar Arasında Geçiş, Çift Ana Dal, Yan Dal ile Kurumlar Arası Kredi Transferi Yapılması Esaslarına İlişkin Yönetmelik</w:t>
      </w:r>
      <w:r>
        <w:rPr>
          <w:i/>
          <w:iCs/>
        </w:rPr>
        <w:t xml:space="preserve">” </w:t>
      </w:r>
      <w:r>
        <w:t xml:space="preserve">hükümlerine dayanılarak hazırlanmıştır. </w:t>
      </w:r>
    </w:p>
    <w:p w:rsidR="00024B97" w:rsidRDefault="00024B97" w:rsidP="00024B97">
      <w:pPr>
        <w:pStyle w:val="Default"/>
        <w:ind w:firstLine="708"/>
        <w:jc w:val="both"/>
      </w:pPr>
      <w:r>
        <w:rPr>
          <w:b/>
          <w:bCs/>
        </w:rPr>
        <w:t xml:space="preserve">Tanımlar </w:t>
      </w:r>
    </w:p>
    <w:p w:rsidR="00024B97" w:rsidRDefault="00024B97" w:rsidP="00024B97">
      <w:pPr>
        <w:pStyle w:val="Default"/>
        <w:ind w:firstLine="708"/>
        <w:jc w:val="both"/>
      </w:pPr>
      <w:r>
        <w:rPr>
          <w:b/>
          <w:bCs/>
        </w:rPr>
        <w:t xml:space="preserve">MADDE 3 – </w:t>
      </w:r>
      <w:r>
        <w:t xml:space="preserve">(1) Bu Yönergede geçen; </w:t>
      </w:r>
    </w:p>
    <w:p w:rsidR="00024B97" w:rsidRDefault="00024B97" w:rsidP="00024B97">
      <w:pPr>
        <w:pStyle w:val="Default"/>
        <w:ind w:firstLine="708"/>
        <w:jc w:val="both"/>
      </w:pPr>
      <w:r>
        <w:t xml:space="preserve">a)Diploma programı: Fakülte, yüksekokul, meslek yüksekokulu veya bölümlerin belirlenen yeterlilikleri sağlayan öğrencilere </w:t>
      </w:r>
      <w:proofErr w:type="spellStart"/>
      <w:r>
        <w:t>önlisans</w:t>
      </w:r>
      <w:proofErr w:type="spellEnd"/>
      <w:r>
        <w:t xml:space="preserve"> veya lisans diploması düzenlenen yükseköğretim programlarını, </w:t>
      </w:r>
    </w:p>
    <w:p w:rsidR="00024B97" w:rsidRDefault="00024B97" w:rsidP="00024B97">
      <w:pPr>
        <w:pStyle w:val="Default"/>
        <w:ind w:firstLine="708"/>
        <w:jc w:val="both"/>
      </w:pPr>
      <w:r>
        <w:t>b)Düzey</w:t>
      </w:r>
      <w:r>
        <w:rPr>
          <w:b/>
          <w:bCs/>
        </w:rPr>
        <w:t xml:space="preserve">: </w:t>
      </w:r>
      <w:proofErr w:type="spellStart"/>
      <w:r>
        <w:t>Önlisans</w:t>
      </w:r>
      <w:proofErr w:type="spellEnd"/>
      <w:r>
        <w:t xml:space="preserve"> veya lisans diploma programlarından her birini, </w:t>
      </w:r>
    </w:p>
    <w:p w:rsidR="00024B97" w:rsidRDefault="00024B97" w:rsidP="00024B97">
      <w:pPr>
        <w:pStyle w:val="Default"/>
        <w:ind w:firstLine="708"/>
        <w:jc w:val="both"/>
      </w:pPr>
      <w:r>
        <w:t xml:space="preserve">c)Eşdeğer diploma programı: İsimleri aynı olan veya ilgili yönetim kurulları tarafından içeriklerinin en az % 80’i aynı olduğu tespit edilen diploma programlarını, </w:t>
      </w:r>
    </w:p>
    <w:p w:rsidR="00024B97" w:rsidRDefault="00024B97" w:rsidP="00024B97">
      <w:pPr>
        <w:pStyle w:val="Default"/>
        <w:ind w:firstLine="708"/>
        <w:jc w:val="both"/>
      </w:pPr>
      <w:r>
        <w:t xml:space="preserve">ç)Akademik ortalama: Öğrencinin hazırlık sınıfı hariç, geçiş yapmak istediği döneme kadar almış olduğu tüm derslerin kredilerine göre </w:t>
      </w:r>
      <w:proofErr w:type="spellStart"/>
      <w:r>
        <w:t>ağırlıklandırılmış</w:t>
      </w:r>
      <w:proofErr w:type="spellEnd"/>
      <w:r>
        <w:t xml:space="preserve"> not ortalamasını, </w:t>
      </w:r>
    </w:p>
    <w:p w:rsidR="00024B97" w:rsidRDefault="00024B97" w:rsidP="00024B97">
      <w:pPr>
        <w:pStyle w:val="Default"/>
        <w:ind w:firstLine="708"/>
        <w:jc w:val="both"/>
      </w:pPr>
      <w:r>
        <w:t xml:space="preserve">d)İlgili yönetim kurulu: Fakültelerde, fakülte yönetim kurulunu; yüksekokullarda, yüksekokul yönetim kurulunu; meslek yüksekokullarında, meslek yüksekokulu yönetim kurulunu, </w:t>
      </w:r>
    </w:p>
    <w:p w:rsidR="00024B97" w:rsidRDefault="00024B97" w:rsidP="00024B97">
      <w:pPr>
        <w:pStyle w:val="Default"/>
        <w:ind w:firstLine="708"/>
        <w:jc w:val="both"/>
      </w:pPr>
      <w:r>
        <w:t xml:space="preserve">e)Kontenjan: Önceden belirlenip ilan edilen öğrenci sayısını, </w:t>
      </w:r>
    </w:p>
    <w:p w:rsidR="00024B97" w:rsidRDefault="00024B97" w:rsidP="00024B97">
      <w:pPr>
        <w:pStyle w:val="Default"/>
        <w:ind w:firstLine="708"/>
        <w:jc w:val="both"/>
      </w:pPr>
      <w:r>
        <w:t xml:space="preserve">f)Kurum (Üniversite) içi yatay geçiş: Bir öğrencinin üniversite içindeki aynı düzeydeki diğer diploma programlarına geçişini, </w:t>
      </w:r>
    </w:p>
    <w:p w:rsidR="00024B97" w:rsidRDefault="00024B97" w:rsidP="00024B97">
      <w:pPr>
        <w:pStyle w:val="Default"/>
        <w:ind w:firstLine="708"/>
        <w:jc w:val="both"/>
      </w:pPr>
      <w:r>
        <w:t xml:space="preserve">g)Kurumlar arası yatay geçiş: Bir üniversite, yüksek teknoloji enstitüsü veya vakıflar tarafından bir üniversiteye bağlı olmaksızın kurulan meslek yüksekokullarından aynı düzeyde üniversitemize yapılan geçişi, </w:t>
      </w:r>
    </w:p>
    <w:p w:rsidR="00024B97" w:rsidRDefault="00024B97" w:rsidP="00024B97">
      <w:pPr>
        <w:pStyle w:val="Default"/>
        <w:ind w:firstLine="708"/>
        <w:jc w:val="both"/>
      </w:pPr>
      <w:r>
        <w:t xml:space="preserve">ğ)ÖSYM Yerleşme Puanı: Yatay geçiş yapmak üzere başvuran öğrencinin </w:t>
      </w:r>
      <w:r w:rsidRPr="00175B05">
        <w:rPr>
          <w:iCs/>
        </w:rPr>
        <w:t>Ölçme, Seçme ve Yerleştirme Merkezi</w:t>
      </w:r>
      <w:r>
        <w:rPr>
          <w:i/>
          <w:iCs/>
        </w:rPr>
        <w:t xml:space="preserve"> </w:t>
      </w:r>
      <w:r>
        <w:t xml:space="preserve">(ÖSYM) tarafından yapılan merkezi sınavda alınan yerleştirme puanını, </w:t>
      </w:r>
    </w:p>
    <w:p w:rsidR="00024B97" w:rsidRDefault="00024B97" w:rsidP="00024B97">
      <w:pPr>
        <w:pStyle w:val="Default"/>
        <w:ind w:firstLine="708"/>
        <w:jc w:val="both"/>
        <w:rPr>
          <w:b/>
          <w:color w:val="auto"/>
        </w:rPr>
      </w:pPr>
      <w:r>
        <w:rPr>
          <w:color w:val="auto"/>
        </w:rPr>
        <w:t>h)Üniversite:</w:t>
      </w:r>
      <w:r>
        <w:rPr>
          <w:b/>
          <w:color w:val="auto"/>
        </w:rPr>
        <w:t xml:space="preserve"> </w:t>
      </w:r>
      <w:r>
        <w:rPr>
          <w:color w:val="auto"/>
        </w:rPr>
        <w:t>Pamukkale Üniversitesini</w:t>
      </w:r>
      <w:r>
        <w:rPr>
          <w:b/>
          <w:color w:val="auto"/>
        </w:rPr>
        <w:t>,</w:t>
      </w:r>
    </w:p>
    <w:p w:rsidR="00024B97" w:rsidRDefault="00024B97" w:rsidP="00024B97">
      <w:pPr>
        <w:pStyle w:val="Default"/>
        <w:ind w:firstLine="708"/>
        <w:jc w:val="both"/>
      </w:pPr>
      <w:r>
        <w:t xml:space="preserve">ı)Taban puan: Yatay geçiş yapmak üzere başvuran öğrencinin, ÖSYM Yerleşme puan yılındaki Pamukkale Üniversitesi ilgili fakülte/bölüm/programına ÖSYM tarafından merkezi sınavla yerleştirilen en düşük puanlı öğrencinin giriş puanını, </w:t>
      </w:r>
    </w:p>
    <w:p w:rsidR="00024B97" w:rsidRDefault="00024B97" w:rsidP="00024B97">
      <w:pPr>
        <w:pStyle w:val="Default"/>
        <w:ind w:firstLine="708"/>
        <w:jc w:val="both"/>
      </w:pPr>
      <w:r>
        <w:t xml:space="preserve">i)Yatay geçiş: Bir yükseköğretim kurumunda kayıtlı olan öğrencinin bu yönergedeki esaslar çerçevesinde, aynı düzeyde veya farklı diğer diploma programlarında öğrenime devam etme hakkı kazanmasını, </w:t>
      </w:r>
    </w:p>
    <w:p w:rsidR="00024B97" w:rsidRDefault="00024B97" w:rsidP="00024B97">
      <w:pPr>
        <w:pStyle w:val="Default"/>
        <w:ind w:firstLine="708"/>
        <w:jc w:val="both"/>
      </w:pPr>
      <w:r>
        <w:lastRenderedPageBreak/>
        <w:t xml:space="preserve">j)Yatay geçiş / intibak komisyonu: İlgili akademik birimde, her bir diploma programı için en az üç öğretim elemanından oluşan komisyonu ifade eder. </w:t>
      </w:r>
    </w:p>
    <w:p w:rsidR="00024B97" w:rsidRDefault="00024B97" w:rsidP="00024B97">
      <w:pPr>
        <w:pStyle w:val="Default"/>
        <w:jc w:val="center"/>
        <w:rPr>
          <w:b/>
          <w:bCs/>
        </w:rPr>
      </w:pPr>
    </w:p>
    <w:p w:rsidR="00024B97" w:rsidRDefault="00024B97" w:rsidP="00024B97">
      <w:pPr>
        <w:pStyle w:val="Default"/>
        <w:jc w:val="center"/>
        <w:rPr>
          <w:b/>
          <w:bCs/>
        </w:rPr>
      </w:pPr>
    </w:p>
    <w:p w:rsidR="00024B97" w:rsidRDefault="00024B97" w:rsidP="00024B97">
      <w:pPr>
        <w:pStyle w:val="Default"/>
        <w:jc w:val="center"/>
      </w:pPr>
      <w:r>
        <w:rPr>
          <w:b/>
          <w:bCs/>
        </w:rPr>
        <w:t>İKİNCİ BÖLÜM</w:t>
      </w:r>
    </w:p>
    <w:p w:rsidR="00024B97" w:rsidRDefault="00024B97" w:rsidP="00024B97">
      <w:pPr>
        <w:pStyle w:val="Default"/>
        <w:jc w:val="center"/>
        <w:rPr>
          <w:b/>
          <w:bCs/>
        </w:rPr>
      </w:pPr>
      <w:r>
        <w:rPr>
          <w:b/>
          <w:bCs/>
        </w:rPr>
        <w:t>Genel İlkeler</w:t>
      </w:r>
    </w:p>
    <w:p w:rsidR="00024B97" w:rsidRDefault="00024B97" w:rsidP="00024B97">
      <w:pPr>
        <w:pStyle w:val="Default"/>
        <w:jc w:val="center"/>
      </w:pPr>
    </w:p>
    <w:p w:rsidR="00024B97" w:rsidRDefault="00024B97" w:rsidP="00024B97">
      <w:pPr>
        <w:pStyle w:val="Default"/>
        <w:ind w:firstLine="708"/>
        <w:jc w:val="both"/>
      </w:pPr>
      <w:r>
        <w:rPr>
          <w:b/>
          <w:bCs/>
        </w:rPr>
        <w:t xml:space="preserve">Kontenjan </w:t>
      </w:r>
    </w:p>
    <w:p w:rsidR="00024B97" w:rsidRDefault="00024B97" w:rsidP="00024B97">
      <w:pPr>
        <w:pStyle w:val="Default"/>
        <w:ind w:firstLine="708"/>
        <w:jc w:val="both"/>
      </w:pPr>
      <w:r>
        <w:rPr>
          <w:b/>
          <w:bCs/>
        </w:rPr>
        <w:t xml:space="preserve">MADDE 4 – </w:t>
      </w:r>
      <w:r>
        <w:t xml:space="preserve">(1)Farklı yükseköğretim kurumlarının diploma programları veya Üniversite içindeki diploma programları arasında önceden ilan edilen sayıda ve şartlarda kontenjan belirlenir. </w:t>
      </w:r>
    </w:p>
    <w:p w:rsidR="00024B97" w:rsidRDefault="00024B97" w:rsidP="00024B97">
      <w:pPr>
        <w:pStyle w:val="Default"/>
        <w:ind w:firstLine="708"/>
        <w:jc w:val="both"/>
        <w:rPr>
          <w:color w:val="auto"/>
        </w:rPr>
      </w:pPr>
      <w:r>
        <w:rPr>
          <w:b/>
          <w:bCs/>
          <w:color w:val="auto"/>
        </w:rPr>
        <w:t>Geçişler (Ek-Madde 1 hariç)</w:t>
      </w:r>
    </w:p>
    <w:p w:rsidR="00024B97" w:rsidRDefault="00024B97" w:rsidP="00024B97">
      <w:pPr>
        <w:pStyle w:val="Default"/>
        <w:ind w:firstLine="708"/>
        <w:jc w:val="both"/>
      </w:pPr>
      <w:r>
        <w:rPr>
          <w:b/>
          <w:bCs/>
        </w:rPr>
        <w:t xml:space="preserve">MADDE 5– </w:t>
      </w:r>
      <w:r>
        <w:t>(1)</w:t>
      </w:r>
      <w:proofErr w:type="spellStart"/>
      <w:r>
        <w:t>Önlisans</w:t>
      </w:r>
      <w:proofErr w:type="spellEnd"/>
      <w:r>
        <w:t xml:space="preserve"> diploma programlarının ilk yarıyılı ile son yarıyılına, lisans diploma programlarının ilk iki yarıyılı ile son iki yarıyılına yatay geçiş yapılamaz. </w:t>
      </w:r>
    </w:p>
    <w:p w:rsidR="00024B97" w:rsidRDefault="00024B97" w:rsidP="00024B97">
      <w:pPr>
        <w:pStyle w:val="Default"/>
        <w:ind w:firstLine="708"/>
        <w:jc w:val="both"/>
      </w:pPr>
      <w:r>
        <w:t xml:space="preserve">(2)Üniversite içinde aynı diploma programlarında birinci öğretimden ikinci öğretime kontenjan sınırlaması olmaksızın yatay geçiş yapılabilir. Ancak, ikinci öğretim diploma programına geçiş yapan öğrenciler ikinci öğretim ücreti öderler. </w:t>
      </w:r>
    </w:p>
    <w:p w:rsidR="00024B97" w:rsidRDefault="00024B97" w:rsidP="00024B97">
      <w:pPr>
        <w:pStyle w:val="Default"/>
        <w:ind w:firstLine="708"/>
        <w:jc w:val="both"/>
      </w:pPr>
      <w:r>
        <w:t xml:space="preserve">(3)Birinci öğretim diploma programındaki öğrenciler birinci ya da ikinci öğretim diploma programına yatay geçiş yapabilmek için her iki programa da birbirinden bağımsız olarak başvurabilirler. Her iki diploma programına birden başvuran öğrenci, her iki programa da yatay geçiş yapma şartlarını sağlaması durumunda aksi yönde beyanı bulunmadığı sürece öncelikle birinci öğretim diploma programına yerleştirilir ve diğer programdaki başvurusu değerlendirmeye alınmaz. İkinci öğretimden sadece ikinci öğretim diploma programlarına yatay geçiş yapılabilir. Ancak, ikinci öğretim diploma programlarından başarı bakımından bulunduğu sınıfın ilk % 10’una girerek bir üst sınıfa geçen öğrenciler birinci öğretim diploma programlarına kontenjan dâhilinde yatay geçiş yapabilirler. </w:t>
      </w:r>
    </w:p>
    <w:p w:rsidR="00024B97" w:rsidRDefault="00024B97" w:rsidP="00024B97">
      <w:pPr>
        <w:pStyle w:val="Default"/>
        <w:ind w:firstLine="708"/>
        <w:jc w:val="both"/>
      </w:pPr>
      <w:r>
        <w:t xml:space="preserve">(4)Uzaktan öğretimden,  birinci öğretim veya ikinci öğretim örgün öğretim programlarına geçiş yapılabilmesi için, öğrencinin öğrenim görmekte olduğu programdaki genel not ortalamasının 3.30 veya üzeri olması veya kayıt olduğu yıldaki merkezi yerleştirme puanının, geçmek istediği diploma programının o yılki taban puanına eşit veya yüksek olması gerekir. </w:t>
      </w:r>
    </w:p>
    <w:p w:rsidR="00024B97" w:rsidRDefault="00024B97" w:rsidP="00024B97">
      <w:pPr>
        <w:pStyle w:val="Default"/>
        <w:ind w:firstLine="708"/>
        <w:jc w:val="both"/>
      </w:pPr>
      <w:r>
        <w:t xml:space="preserve">(5)Birinci veya ikinci öğretim diploma programlarından uzaktan eğitim veren diploma programlarına yatay geçiş yapılabilir. </w:t>
      </w:r>
    </w:p>
    <w:p w:rsidR="00024B97" w:rsidRDefault="00024B97" w:rsidP="00024B97">
      <w:pPr>
        <w:pStyle w:val="Default"/>
        <w:ind w:firstLine="708"/>
        <w:jc w:val="both"/>
      </w:pPr>
      <w:r>
        <w:rPr>
          <w:b/>
          <w:bCs/>
        </w:rPr>
        <w:t xml:space="preserve">Başvuru ve değerlendirme </w:t>
      </w:r>
    </w:p>
    <w:p w:rsidR="00024B97" w:rsidRDefault="00024B97" w:rsidP="00024B97">
      <w:pPr>
        <w:pStyle w:val="Default"/>
        <w:ind w:firstLine="708"/>
        <w:jc w:val="both"/>
      </w:pPr>
      <w:r>
        <w:rPr>
          <w:b/>
          <w:bCs/>
        </w:rPr>
        <w:t xml:space="preserve">MADDE 6– </w:t>
      </w:r>
      <w:r>
        <w:t xml:space="preserve">(1)Diploma programları arasında yatay geçiş başvuruları, sadece ilan edilen süre içerisinde yapılır. </w:t>
      </w:r>
    </w:p>
    <w:p w:rsidR="00024B97" w:rsidRDefault="00024B97" w:rsidP="00024B97">
      <w:pPr>
        <w:pStyle w:val="Default"/>
        <w:ind w:firstLine="708"/>
        <w:jc w:val="both"/>
      </w:pPr>
      <w:r>
        <w:t xml:space="preserve">(2)Üniversite içi programlar arası yatay geçişlerde, öğrencinin başvurduğu döneme kadar kayıtlı olduğu diploma programında sorumlu olduğu tüm dersleri başarmış ve akademik ortalamasının en az </w:t>
      </w:r>
      <w:r w:rsidR="00505389">
        <w:rPr>
          <w:color w:val="auto"/>
        </w:rPr>
        <w:t>2.50</w:t>
      </w:r>
      <w:r>
        <w:rPr>
          <w:color w:val="auto"/>
        </w:rPr>
        <w:t xml:space="preserve"> </w:t>
      </w:r>
      <w:r>
        <w:t xml:space="preserve">olması şartı aranır. </w:t>
      </w:r>
      <w:r w:rsidR="00505389" w:rsidRPr="00505389">
        <w:rPr>
          <w:color w:val="FF0000"/>
        </w:rPr>
        <w:t>**</w:t>
      </w:r>
    </w:p>
    <w:p w:rsidR="00024B97" w:rsidRDefault="00024B97" w:rsidP="00024B97">
      <w:pPr>
        <w:pStyle w:val="Default"/>
        <w:ind w:firstLine="708"/>
        <w:jc w:val="both"/>
      </w:pPr>
      <w:r>
        <w:t xml:space="preserve">(3)Kurumlar arası yatay geçişte, öğrencinin kayıtlı olduğu diploma programında bitirmiş olduğu dönemlere ait genel not </w:t>
      </w:r>
      <w:proofErr w:type="gramStart"/>
      <w:r>
        <w:t>ortalamasının  2</w:t>
      </w:r>
      <w:proofErr w:type="gramEnd"/>
      <w:r w:rsidR="00505389">
        <w:t>.50</w:t>
      </w:r>
      <w:r>
        <w:t xml:space="preserve"> veya merkezi yerleştirme puanı geçiş yapmak istediği diploma programının taban puanına eşit veya yüksek olması gerekir. </w:t>
      </w:r>
      <w:r w:rsidR="00505389" w:rsidRPr="00505389">
        <w:rPr>
          <w:color w:val="FF0000"/>
        </w:rPr>
        <w:t>**</w:t>
      </w:r>
    </w:p>
    <w:p w:rsidR="00024B97" w:rsidRDefault="00024B97" w:rsidP="00024B97">
      <w:pPr>
        <w:pStyle w:val="Default"/>
        <w:ind w:firstLine="708"/>
        <w:jc w:val="both"/>
      </w:pPr>
      <w:r>
        <w:t xml:space="preserve">(4)Kayıt dondurmuş olmak, yatay geçiş hakkından yararlanmak için engel teşkil etmez. </w:t>
      </w:r>
    </w:p>
    <w:p w:rsidR="00024B97" w:rsidRDefault="00024B97" w:rsidP="00024B97">
      <w:pPr>
        <w:pStyle w:val="Default"/>
        <w:ind w:firstLine="708"/>
        <w:jc w:val="both"/>
        <w:rPr>
          <w:color w:val="auto"/>
        </w:rPr>
      </w:pPr>
      <w:r>
        <w:rPr>
          <w:color w:val="auto"/>
        </w:rPr>
        <w:t xml:space="preserve">(5)Başvurularla ilgili ön değerlendirmeyi, bu yönerge çerçevesinde, ilgili akademik birimler tarafından oluşturulan yatay geçiş / intibak komisyonları yapar. Başvurular, adayların akademik not ortalaması, farklı puan türlerindeki programlara geçiş için merkezi yerleştirme puanı dikkate alınarak, yukarıda belirlenmiş olan ölçütler ve 10. maddeye göre değerlendirilir ve ayrılan kontenjana göre geçiş sağlanır. </w:t>
      </w:r>
    </w:p>
    <w:p w:rsidR="00024B97" w:rsidRDefault="00024B97" w:rsidP="00024B97">
      <w:pPr>
        <w:pStyle w:val="Default"/>
        <w:ind w:firstLine="708"/>
        <w:jc w:val="both"/>
      </w:pPr>
      <w:r>
        <w:t xml:space="preserve">(6)Diploma programına yatay geçiş yerleştirme işlemleri, ilgili akademik birimin yönetim kurulu kararı üzerine yapılır. </w:t>
      </w:r>
    </w:p>
    <w:p w:rsidR="00024B97" w:rsidRDefault="00024B97" w:rsidP="00024B97">
      <w:pPr>
        <w:pStyle w:val="Default"/>
        <w:ind w:firstLine="708"/>
        <w:jc w:val="both"/>
        <w:rPr>
          <w:sz w:val="23"/>
          <w:szCs w:val="23"/>
        </w:rPr>
      </w:pPr>
      <w:r>
        <w:lastRenderedPageBreak/>
        <w:t xml:space="preserve">(7)Dörtlük veya yüzlük sisteme göre elde edilen başarı notlarının birbirine dönüştürülmesinde, Pamukkale Üniversitesi </w:t>
      </w:r>
      <w:proofErr w:type="spellStart"/>
      <w:r>
        <w:t>Önlisans</w:t>
      </w:r>
      <w:proofErr w:type="spellEnd"/>
      <w:r>
        <w:t xml:space="preserve">, Lisans Eğitim ve Öğretim Yönetmeliğinin </w:t>
      </w:r>
      <w:r>
        <w:rPr>
          <w:bCs/>
          <w:sz w:val="23"/>
          <w:szCs w:val="23"/>
        </w:rPr>
        <w:t xml:space="preserve">Başarı notu dönüşümlerini içeren 35 </w:t>
      </w:r>
      <w:proofErr w:type="spellStart"/>
      <w:r>
        <w:rPr>
          <w:bCs/>
          <w:sz w:val="23"/>
          <w:szCs w:val="23"/>
        </w:rPr>
        <w:t>nci</w:t>
      </w:r>
      <w:proofErr w:type="spellEnd"/>
      <w:r>
        <w:rPr>
          <w:bCs/>
          <w:sz w:val="23"/>
          <w:szCs w:val="23"/>
        </w:rPr>
        <w:t xml:space="preserve"> madde hükümleri uygulanır. </w:t>
      </w:r>
    </w:p>
    <w:p w:rsidR="00024B97" w:rsidRDefault="00024B97" w:rsidP="00024B97">
      <w:pPr>
        <w:pStyle w:val="Default"/>
        <w:ind w:firstLine="708"/>
        <w:jc w:val="both"/>
      </w:pPr>
      <w:r>
        <w:rPr>
          <w:b/>
          <w:bCs/>
        </w:rPr>
        <w:t>Sonuçların ilanı ve intibak işlemleri</w:t>
      </w:r>
    </w:p>
    <w:p w:rsidR="00024B97" w:rsidRDefault="00024B97" w:rsidP="00024B97">
      <w:pPr>
        <w:pStyle w:val="Default"/>
        <w:ind w:firstLine="708"/>
        <w:jc w:val="both"/>
        <w:rPr>
          <w:sz w:val="23"/>
          <w:szCs w:val="23"/>
        </w:rPr>
      </w:pPr>
      <w:r>
        <w:rPr>
          <w:b/>
          <w:bCs/>
        </w:rPr>
        <w:t>MADDE 7–</w:t>
      </w:r>
      <w:r>
        <w:t xml:space="preserve">(1)Her bir diploma programına yatay geçiş için başvuran adayların değerlendirme sonuçları, </w:t>
      </w:r>
      <w:r>
        <w:rPr>
          <w:iCs/>
        </w:rPr>
        <w:t>Üniversitemiz ve ilgili akademik birimlerinin web</w:t>
      </w:r>
      <w:r>
        <w:rPr>
          <w:i/>
          <w:iCs/>
        </w:rPr>
        <w:t xml:space="preserve"> </w:t>
      </w:r>
      <w:r>
        <w:t xml:space="preserve">sayfasında duyurulur. </w:t>
      </w:r>
      <w:r>
        <w:rPr>
          <w:sz w:val="23"/>
          <w:szCs w:val="23"/>
        </w:rPr>
        <w:t xml:space="preserve">Yatay geçişi uygun bulunan öğrencilere ilişkin ilgili akademik birim tarafından alınan karar, öğrencilerin e-posta adreslerine gönderilerek tebliğ edilir, </w:t>
      </w:r>
    </w:p>
    <w:p w:rsidR="00024B97" w:rsidRPr="00242CD0" w:rsidRDefault="00024B97" w:rsidP="00024B97">
      <w:pPr>
        <w:tabs>
          <w:tab w:val="left" w:pos="360"/>
        </w:tabs>
        <w:jc w:val="both"/>
      </w:pPr>
      <w:r>
        <w:tab/>
      </w:r>
      <w:r>
        <w:tab/>
        <w:t xml:space="preserve">(2) </w:t>
      </w:r>
      <w:r w:rsidRPr="00242CD0">
        <w:t xml:space="preserve">Başarı </w:t>
      </w:r>
      <w:r w:rsidR="006E2A6A">
        <w:t>koşullarını sağlayan ve değerlendirmeye alınan adaylar, konten</w:t>
      </w:r>
      <w:r w:rsidRPr="002D6CA2">
        <w:t xml:space="preserve">jan sayısı kadar asıl </w:t>
      </w:r>
      <w:r w:rsidR="006E2A6A">
        <w:t xml:space="preserve">ve yedek aday olarak ilan edilir. Belirtilen süre içinde asıl adaylardan başvuru yapılmaması halinde sırayla ilan edilen yedek adaylara kayıt hakkı verilir. Yatay geçiş hakkı kazanan öğrencilerin intibakları, yeni akademik yarıyıla diğer öğrencilerle aynı tarihte başlamasını sağlayacak şekilde yapılır. </w:t>
      </w:r>
      <w:r w:rsidRPr="006E2A6A">
        <w:rPr>
          <w:color w:val="FF0000"/>
          <w:sz w:val="32"/>
          <w:szCs w:val="32"/>
        </w:rPr>
        <w:t>*</w:t>
      </w:r>
    </w:p>
    <w:p w:rsidR="00024B97" w:rsidRDefault="00024B97" w:rsidP="00024B97">
      <w:pPr>
        <w:pStyle w:val="Default"/>
        <w:ind w:firstLine="708"/>
        <w:jc w:val="both"/>
      </w:pPr>
      <w:r>
        <w:t xml:space="preserve"> (3)İlgili komisyonlar öğrencinin daha önceki dönemlerde aldığı dersler ile yatay geçiş yaptığı programın derslerini dikkate alarak, 6 </w:t>
      </w:r>
      <w:proofErr w:type="spellStart"/>
      <w:r>
        <w:t>ncı</w:t>
      </w:r>
      <w:proofErr w:type="spellEnd"/>
      <w:r>
        <w:t xml:space="preserve"> maddede belirtilen esaslara göre öğrencinin hangi yarıyıla veya sınıfa intibak ettirileceğini tespit eder, varsa öğrencinin alması gereken ilave dersler ile muaf tutulması gereken dersleri belirler. </w:t>
      </w:r>
    </w:p>
    <w:p w:rsidR="00024B97" w:rsidRDefault="00024B97" w:rsidP="00024B97">
      <w:pPr>
        <w:pStyle w:val="Default"/>
        <w:jc w:val="both"/>
        <w:rPr>
          <w:b/>
          <w:bCs/>
        </w:rPr>
      </w:pPr>
    </w:p>
    <w:p w:rsidR="00024B97" w:rsidRDefault="00024B97" w:rsidP="00024B97">
      <w:pPr>
        <w:pStyle w:val="Default"/>
        <w:jc w:val="center"/>
      </w:pPr>
      <w:r>
        <w:rPr>
          <w:b/>
          <w:bCs/>
        </w:rPr>
        <w:t>ÜÇÜNCÜ BÖLÜM</w:t>
      </w:r>
    </w:p>
    <w:p w:rsidR="00024B97" w:rsidRDefault="00024B97" w:rsidP="00024B97">
      <w:pPr>
        <w:pStyle w:val="Default"/>
        <w:jc w:val="center"/>
      </w:pPr>
      <w:r>
        <w:rPr>
          <w:b/>
          <w:bCs/>
        </w:rPr>
        <w:t>Üniversite İçi Programlar Arası Yatay Geçiş</w:t>
      </w:r>
    </w:p>
    <w:p w:rsidR="00024B97" w:rsidRDefault="00024B97" w:rsidP="00024B97">
      <w:pPr>
        <w:pStyle w:val="Default"/>
        <w:jc w:val="center"/>
        <w:rPr>
          <w:b/>
          <w:bCs/>
        </w:rPr>
      </w:pPr>
      <w:r>
        <w:rPr>
          <w:b/>
          <w:bCs/>
        </w:rPr>
        <w:t>Üniversite İçi Yatay Geçiş Kontenjanları Ve Taban Puan Şartı</w:t>
      </w:r>
    </w:p>
    <w:p w:rsidR="00024B97" w:rsidRDefault="00024B97" w:rsidP="00024B97">
      <w:pPr>
        <w:pStyle w:val="Default"/>
        <w:jc w:val="both"/>
      </w:pPr>
    </w:p>
    <w:p w:rsidR="00024B97" w:rsidRDefault="00024B97" w:rsidP="00024B97">
      <w:pPr>
        <w:pStyle w:val="Default"/>
        <w:ind w:firstLine="708"/>
        <w:jc w:val="both"/>
      </w:pPr>
      <w:r>
        <w:rPr>
          <w:b/>
          <w:bCs/>
        </w:rPr>
        <w:t xml:space="preserve">MADDE 8– </w:t>
      </w:r>
      <w:r>
        <w:t xml:space="preserve">(1)Bir fakülte, yüksekokul veya meslek yüksekokulunun kendi bünyesindeki veya diğer fakülte, yüksekokul veya meslek yüksekokulunun bünyesindeki eşdeğer düzeyde diploma programlarına senato tarafından belirlenen kontenjanlar dâhilinde yatay geçiş yapılabilir. </w:t>
      </w:r>
    </w:p>
    <w:p w:rsidR="00024B97" w:rsidRDefault="00024B97" w:rsidP="00024B97">
      <w:pPr>
        <w:pStyle w:val="Default"/>
        <w:ind w:firstLine="708"/>
        <w:jc w:val="both"/>
      </w:pPr>
      <w:r>
        <w:t xml:space="preserve">(2) Hangi dönemlerde ve hangi diploma programları için üniversite içi yatay geçiş kontenjanı belirleneceği, her bir diploma programı için ikinci yarıyıldan başlamak ve beşinci yarıyıl dâhil olmak üzere, kontenjan ilan edilen her yıl için </w:t>
      </w:r>
      <w:r>
        <w:rPr>
          <w:iCs/>
        </w:rPr>
        <w:t>ÖSYM Kılavuzu’</w:t>
      </w:r>
      <w:r>
        <w:t xml:space="preserve">nda öngörülen öğrenci kontenjanının % 15’ini geçmeyecek biçimde, senato tarafından karara bağlanır. </w:t>
      </w:r>
    </w:p>
    <w:p w:rsidR="00024B97" w:rsidRDefault="00024B97" w:rsidP="00024B97">
      <w:pPr>
        <w:pStyle w:val="Default"/>
        <w:ind w:firstLine="708"/>
        <w:jc w:val="both"/>
      </w:pPr>
      <w:r>
        <w:t xml:space="preserve">(3)Üniversite içi yatay geçiş kontenjanları ve şartları senato tarafından kabul edilir. Yükseköğretim Kurulu web sayfasında ilan edildikten sonra </w:t>
      </w:r>
      <w:r>
        <w:rPr>
          <w:iCs/>
        </w:rPr>
        <w:t>Üniversite</w:t>
      </w:r>
      <w:r>
        <w:t xml:space="preserve"> web sayfasında da ilan edilir. </w:t>
      </w:r>
    </w:p>
    <w:p w:rsidR="00024B97" w:rsidRDefault="00024B97" w:rsidP="00024B97">
      <w:pPr>
        <w:pStyle w:val="Default"/>
        <w:ind w:firstLine="708"/>
        <w:jc w:val="both"/>
      </w:pPr>
      <w:r>
        <w:t xml:space="preserve">(4)Programların üniversite içi kontenjanları aynı fakülte, yüksekokul veya meslek yüksekokulu bünyesinde yer alan diploma programları ile diğer fakülte, yüksekokul veya meslek yüksekokulu bünyesindeki diploma programları için ayrı ayrı belirlenebilir. </w:t>
      </w:r>
    </w:p>
    <w:p w:rsidR="00024B97" w:rsidRDefault="00024B97" w:rsidP="00024B97">
      <w:pPr>
        <w:pStyle w:val="Default"/>
        <w:ind w:firstLine="708"/>
        <w:jc w:val="both"/>
      </w:pPr>
      <w:proofErr w:type="gramStart"/>
      <w:r>
        <w:t xml:space="preserve">(5)Üniversite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 </w:t>
      </w:r>
      <w:proofErr w:type="gramEnd"/>
    </w:p>
    <w:p w:rsidR="00024B97" w:rsidRDefault="00024B97" w:rsidP="00024B97">
      <w:pPr>
        <w:pStyle w:val="Default"/>
        <w:ind w:firstLine="708"/>
        <w:jc w:val="both"/>
      </w:pPr>
      <w:r>
        <w:t xml:space="preserve">(6) Yetenek sınavı ile öğrenci alan diploma programlarına kurum içi yatay geçişlerde diğer şartların yanı sıra yetenek sınavında da başarılı olma şartı aranır. </w:t>
      </w:r>
    </w:p>
    <w:p w:rsidR="00024B97" w:rsidRDefault="00024B97" w:rsidP="00024B97">
      <w:pPr>
        <w:pStyle w:val="Default"/>
        <w:rPr>
          <w:b/>
          <w:bCs/>
        </w:rPr>
      </w:pPr>
    </w:p>
    <w:p w:rsidR="00024B97" w:rsidRDefault="00024B97" w:rsidP="00024B97">
      <w:pPr>
        <w:pStyle w:val="Default"/>
        <w:jc w:val="center"/>
      </w:pPr>
      <w:r>
        <w:rPr>
          <w:b/>
          <w:bCs/>
        </w:rPr>
        <w:t>DÖRDÜNCÜ BÖLÜM</w:t>
      </w:r>
    </w:p>
    <w:p w:rsidR="00024B97" w:rsidRDefault="00024B97" w:rsidP="00024B97">
      <w:pPr>
        <w:pStyle w:val="Default"/>
        <w:jc w:val="center"/>
      </w:pPr>
      <w:r>
        <w:rPr>
          <w:b/>
          <w:bCs/>
        </w:rPr>
        <w:t>Kurumlar Arası Yatay Geçiş</w:t>
      </w:r>
    </w:p>
    <w:p w:rsidR="00024B97" w:rsidRDefault="00024B97" w:rsidP="00024B97">
      <w:pPr>
        <w:pStyle w:val="Default"/>
      </w:pPr>
    </w:p>
    <w:p w:rsidR="00024B97" w:rsidRDefault="00024B97" w:rsidP="00024B97">
      <w:pPr>
        <w:pStyle w:val="Default"/>
        <w:ind w:firstLine="708"/>
        <w:jc w:val="both"/>
      </w:pPr>
      <w:r>
        <w:rPr>
          <w:b/>
          <w:bCs/>
        </w:rPr>
        <w:lastRenderedPageBreak/>
        <w:t xml:space="preserve">MADDE 9– </w:t>
      </w:r>
      <w:r>
        <w:t xml:space="preserve">(1) Üniversitemize kurumlar arası yatay geçiş, aynı düzeydeki eşdeğer diploma programları arasında ve </w:t>
      </w:r>
      <w:r>
        <w:rPr>
          <w:iCs/>
        </w:rPr>
        <w:t>Yükseköğretim Kurulu</w:t>
      </w:r>
      <w:r>
        <w:rPr>
          <w:i/>
          <w:iCs/>
        </w:rPr>
        <w:t xml:space="preserve"> </w:t>
      </w:r>
      <w:r>
        <w:t xml:space="preserve">tarafından yayınlanan kontenjanlar çerçevesinde yapılır. </w:t>
      </w:r>
    </w:p>
    <w:p w:rsidR="00024B97" w:rsidRDefault="00024B97" w:rsidP="00024B97">
      <w:pPr>
        <w:pStyle w:val="Default"/>
        <w:ind w:firstLine="708"/>
        <w:jc w:val="both"/>
      </w:pPr>
      <w:r>
        <w:t>(2)Bu şekilde yatay geçiş için öğrencinin bitirmiş olduğu dönemlere ait akademik ortalamasının en az 2.</w:t>
      </w:r>
      <w:r w:rsidR="00505389">
        <w:t>50</w:t>
      </w:r>
      <w:r>
        <w:t xml:space="preserve"> veya merkezi yerleştirme puanı geçiş yapmak istediği diploma programının taban puanına eşit veya yüksek olması şarttır. </w:t>
      </w:r>
      <w:r w:rsidR="00505389" w:rsidRPr="00505389">
        <w:rPr>
          <w:color w:val="FF0000"/>
        </w:rPr>
        <w:t>**</w:t>
      </w:r>
    </w:p>
    <w:p w:rsidR="00024B97" w:rsidRDefault="00024B97" w:rsidP="00024B97">
      <w:pPr>
        <w:pStyle w:val="Default"/>
        <w:ind w:firstLine="708"/>
        <w:jc w:val="both"/>
      </w:pPr>
      <w:r>
        <w:t xml:space="preserve">(3)Üniversitemiz için belirlenen yatay geçiş kontenjanları ile başvuru ve değerlendirme takvimi, </w:t>
      </w:r>
      <w:r>
        <w:rPr>
          <w:iCs/>
        </w:rPr>
        <w:t>Yükseköğretim Kurulu</w:t>
      </w:r>
      <w:r>
        <w:rPr>
          <w:i/>
          <w:iCs/>
        </w:rPr>
        <w:t xml:space="preserve"> </w:t>
      </w:r>
      <w:r>
        <w:t xml:space="preserve">internet sayfasında ve Üniversitemiz web sayfasında ilan edilir. </w:t>
      </w:r>
    </w:p>
    <w:p w:rsidR="00024B97" w:rsidRDefault="00024B97" w:rsidP="00024B97">
      <w:pPr>
        <w:pStyle w:val="Default"/>
        <w:ind w:firstLine="708"/>
        <w:jc w:val="both"/>
        <w:rPr>
          <w:color w:val="auto"/>
        </w:rPr>
      </w:pPr>
      <w:r>
        <w:rPr>
          <w:color w:val="auto"/>
        </w:rPr>
        <w:t xml:space="preserve">(4)Tamamen veya kısmen yabancı dil ile eğitim-öğretim yapan Üniversitemiz programlarına yatay geçiş için, Üniversitemiz Yabancı Diller Yüksekokulu’nun yapacağı yabancı dil yeterlilik sınavından başarılı olmak ya da ulusal veya uluslararası geçerliliği olan yabancı dil sınavlarından üniversitemizin belirlediği başarı düzeyinde bir puanı başvuru sırasında belgelemek şarttır. </w:t>
      </w:r>
    </w:p>
    <w:p w:rsidR="00024B97" w:rsidRDefault="00024B97" w:rsidP="00024B97">
      <w:pPr>
        <w:pStyle w:val="Default"/>
        <w:ind w:firstLine="708"/>
        <w:jc w:val="both"/>
        <w:rPr>
          <w:color w:val="auto"/>
        </w:rPr>
      </w:pPr>
      <w:r>
        <w:t>(5)Yatay geçişle gelen öğrencilerin önceki diploma programından başarılı olduğu derslerin intibakı yapılarak notları not durum belgesinde gösterilir</w:t>
      </w:r>
      <w:r>
        <w:rPr>
          <w:color w:val="auto"/>
        </w:rPr>
        <w:t xml:space="preserve">. İntibakı yapılan dersler ve diploma programında iken aldığı yükseköğretim kurumundan almış olduğu derslere göre </w:t>
      </w:r>
      <w:proofErr w:type="gramStart"/>
      <w:r>
        <w:rPr>
          <w:color w:val="auto"/>
        </w:rPr>
        <w:t>akademik  ortalaması</w:t>
      </w:r>
      <w:proofErr w:type="gramEnd"/>
      <w:r>
        <w:rPr>
          <w:color w:val="auto"/>
        </w:rPr>
        <w:t xml:space="preserve"> belirlenir. </w:t>
      </w:r>
    </w:p>
    <w:p w:rsidR="00024B97" w:rsidRDefault="00024B97" w:rsidP="00024B97">
      <w:pPr>
        <w:pStyle w:val="Default"/>
        <w:ind w:firstLine="708"/>
        <w:jc w:val="both"/>
      </w:pPr>
      <w:r>
        <w:rPr>
          <w:b/>
          <w:bCs/>
        </w:rPr>
        <w:t xml:space="preserve">Değerlendirme </w:t>
      </w:r>
    </w:p>
    <w:p w:rsidR="00024B97" w:rsidRDefault="00024B97" w:rsidP="00024B97">
      <w:pPr>
        <w:pStyle w:val="Default"/>
        <w:ind w:firstLine="708"/>
        <w:jc w:val="both"/>
      </w:pPr>
      <w:r>
        <w:rPr>
          <w:b/>
          <w:bCs/>
        </w:rPr>
        <w:t xml:space="preserve">MADDE 10– </w:t>
      </w:r>
      <w:r>
        <w:t xml:space="preserve">(1) Üniversitemize kurumlar arası yapılan yatay geçiş değerlendirme sonuçları, geçerli başvurusu olan tüm adayların isimleri, değerlendirmede esas alınan puanlara göre sıralanmış biçimde </w:t>
      </w:r>
      <w:r>
        <w:rPr>
          <w:iCs/>
        </w:rPr>
        <w:t>Üniversitemiz</w:t>
      </w:r>
      <w:r>
        <w:t xml:space="preserve"> internet sayfasında ilan edilir. </w:t>
      </w:r>
    </w:p>
    <w:p w:rsidR="00024B97" w:rsidRDefault="00024B97" w:rsidP="00024B97">
      <w:pPr>
        <w:pStyle w:val="Default"/>
        <w:ind w:firstLine="708"/>
        <w:jc w:val="both"/>
      </w:pPr>
      <w:r>
        <w:t xml:space="preserve">(2) Başvurularla ilgili ön değerlendirmeyi, bu yönerge çerçevesinde, yatay geçiş komisyonu yapar. Yatay geçiş başvurusunda bulunan öğrencilerin değerlendirme puanı aşağıda verilen prosedüre ve örneğe </w:t>
      </w:r>
      <w:proofErr w:type="gramStart"/>
      <w:r>
        <w:t>göre  hesaplanır</w:t>
      </w:r>
      <w:proofErr w:type="gramEnd"/>
      <w:r>
        <w:t xml:space="preserve">. Elde edilen notlar büyükten küçüğe doğru sıralandıktan sonra en yüksek notlu öğrenciden başlayarak kontenjan dâhilinde yatay geçiş yapacak öğrenciler belirlenir. </w:t>
      </w:r>
    </w:p>
    <w:p w:rsidR="00024B97" w:rsidRDefault="00024B97" w:rsidP="00024B97">
      <w:pPr>
        <w:ind w:firstLine="708"/>
        <w:jc w:val="both"/>
      </w:pPr>
      <w:r>
        <w:rPr>
          <w:bCs/>
        </w:rPr>
        <w:t>Değerlendirme Puanı</w:t>
      </w:r>
      <w:r>
        <w:t xml:space="preserve">: Başvurulan programın puan türüne göre, ÖSYM Yerleşme puanı (LYS1, LYS2 vb.) en yüksek puan 500 kabul edilerek (5’e bölünerek) 100’lük puana dönüştürülür. ÖSYM Yerleştirme puanı bulunmayan adayların Yerleştirme Puanları 140 olarak kabul edilir. Oluşan bu puanın %80’i ve Pamukkale Üniversitesi </w:t>
      </w:r>
      <w:r>
        <w:rPr>
          <w:u w:val="single"/>
        </w:rPr>
        <w:t>Senatosu’nun 24.09.2012 tarih ve 08/1 sayılı Kararı ile kabul edilen</w:t>
      </w:r>
      <w:r>
        <w:t xml:space="preserve"> 4.00’lük sistemden 100’lük sisteme dönüşüm tablosu kullanılarak, 100’lük sisteme dönüştürülen akademik ortalamanın %20’si toplanarak başvuru puanı hesaplanır. </w:t>
      </w:r>
    </w:p>
    <w:p w:rsidR="00024B97" w:rsidRDefault="00024B97" w:rsidP="00024B97">
      <w:pPr>
        <w:ind w:firstLine="708"/>
        <w:jc w:val="both"/>
        <w:rPr>
          <w:b/>
          <w:color w:val="FF0000"/>
        </w:rPr>
      </w:pPr>
      <w:r>
        <w:rPr>
          <w:b/>
          <w:color w:val="FF0000"/>
        </w:rPr>
        <w:t xml:space="preserve">                      </w:t>
      </w:r>
      <w:r>
        <w:rPr>
          <w:b/>
        </w:rPr>
        <w:t xml:space="preserve"> Örnek Hesaplama Tablosu (3 Öğrenci Kontenjanına göre)</w:t>
      </w:r>
    </w:p>
    <w:tbl>
      <w:tblPr>
        <w:tblW w:w="9006" w:type="dxa"/>
        <w:tblInd w:w="70" w:type="dxa"/>
        <w:tblCellMar>
          <w:left w:w="70" w:type="dxa"/>
          <w:right w:w="70" w:type="dxa"/>
        </w:tblCellMar>
        <w:tblLook w:val="04A0" w:firstRow="1" w:lastRow="0" w:firstColumn="1" w:lastColumn="0" w:noHBand="0" w:noVBand="1"/>
      </w:tblPr>
      <w:tblGrid>
        <w:gridCol w:w="866"/>
        <w:gridCol w:w="969"/>
        <w:gridCol w:w="1493"/>
        <w:gridCol w:w="1073"/>
        <w:gridCol w:w="1173"/>
        <w:gridCol w:w="1061"/>
        <w:gridCol w:w="1436"/>
        <w:gridCol w:w="1071"/>
      </w:tblGrid>
      <w:tr w:rsidR="00024B97" w:rsidTr="003D4469">
        <w:trPr>
          <w:trHeight w:val="879"/>
        </w:trPr>
        <w:tc>
          <w:tcPr>
            <w:tcW w:w="758" w:type="dxa"/>
            <w:tcBorders>
              <w:top w:val="single" w:sz="8" w:space="0" w:color="auto"/>
              <w:left w:val="single" w:sz="8" w:space="0" w:color="auto"/>
              <w:bottom w:val="nil"/>
              <w:right w:val="single" w:sz="8" w:space="0" w:color="auto"/>
            </w:tcBorders>
            <w:noWrap/>
            <w:vAlign w:val="center"/>
            <w:hideMark/>
          </w:tcPr>
          <w:p w:rsidR="00024B97" w:rsidRDefault="00024B97" w:rsidP="003D4469">
            <w:pPr>
              <w:spacing w:line="276" w:lineRule="auto"/>
              <w:jc w:val="center"/>
              <w:rPr>
                <w:b/>
                <w:bCs/>
                <w:color w:val="000000"/>
              </w:rPr>
            </w:pPr>
            <w:r>
              <w:rPr>
                <w:b/>
                <w:bCs/>
                <w:color w:val="000000"/>
                <w:sz w:val="22"/>
                <w:szCs w:val="22"/>
              </w:rPr>
              <w:t>Adaylar</w:t>
            </w:r>
          </w:p>
        </w:tc>
        <w:tc>
          <w:tcPr>
            <w:tcW w:w="912"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ÖSYS Yerleşme Puanı</w:t>
            </w:r>
          </w:p>
        </w:tc>
        <w:tc>
          <w:tcPr>
            <w:tcW w:w="1577"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100’e dönüştürülmüş ÖSYM Puanı</w:t>
            </w:r>
          </w:p>
        </w:tc>
        <w:tc>
          <w:tcPr>
            <w:tcW w:w="944"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ÖSYS Puanı%80</w:t>
            </w:r>
          </w:p>
        </w:tc>
        <w:tc>
          <w:tcPr>
            <w:tcW w:w="1237"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100 Üzerinden Akademik Ortalama</w:t>
            </w:r>
          </w:p>
        </w:tc>
        <w:tc>
          <w:tcPr>
            <w:tcW w:w="933"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Akademik Ortalama %20</w:t>
            </w:r>
          </w:p>
        </w:tc>
        <w:tc>
          <w:tcPr>
            <w:tcW w:w="1516" w:type="dxa"/>
            <w:tcBorders>
              <w:top w:val="single" w:sz="8" w:space="0" w:color="auto"/>
              <w:left w:val="nil"/>
              <w:bottom w:val="nil"/>
              <w:right w:val="single" w:sz="8" w:space="0" w:color="auto"/>
            </w:tcBorders>
            <w:noWrap/>
            <w:vAlign w:val="center"/>
            <w:hideMark/>
          </w:tcPr>
          <w:p w:rsidR="00024B97" w:rsidRDefault="00024B97" w:rsidP="003D4469">
            <w:pPr>
              <w:spacing w:line="276" w:lineRule="auto"/>
              <w:jc w:val="center"/>
              <w:rPr>
                <w:b/>
                <w:bCs/>
                <w:color w:val="000000"/>
              </w:rPr>
            </w:pPr>
            <w:r>
              <w:rPr>
                <w:b/>
                <w:bCs/>
                <w:color w:val="000000"/>
                <w:sz w:val="22"/>
                <w:szCs w:val="22"/>
              </w:rPr>
              <w:t>Başvuru Puanı</w:t>
            </w:r>
          </w:p>
        </w:tc>
        <w:tc>
          <w:tcPr>
            <w:tcW w:w="1129"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b/>
                <w:bCs/>
                <w:color w:val="000000"/>
              </w:rPr>
            </w:pPr>
            <w:r>
              <w:rPr>
                <w:rFonts w:cs="Arial TUR"/>
                <w:b/>
                <w:bCs/>
                <w:color w:val="000000"/>
                <w:sz w:val="22"/>
                <w:szCs w:val="22"/>
              </w:rPr>
              <w:t>Sonuç</w:t>
            </w:r>
          </w:p>
        </w:tc>
      </w:tr>
      <w:tr w:rsidR="00024B97" w:rsidTr="003D4469">
        <w:trPr>
          <w:trHeight w:val="302"/>
        </w:trPr>
        <w:tc>
          <w:tcPr>
            <w:tcW w:w="758" w:type="dxa"/>
            <w:tcBorders>
              <w:top w:val="single" w:sz="8" w:space="0" w:color="auto"/>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1</w:t>
            </w:r>
          </w:p>
        </w:tc>
        <w:tc>
          <w:tcPr>
            <w:tcW w:w="912"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377,680</w:t>
            </w:r>
          </w:p>
        </w:tc>
        <w:tc>
          <w:tcPr>
            <w:tcW w:w="1577"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75,536</w:t>
            </w:r>
          </w:p>
        </w:tc>
        <w:tc>
          <w:tcPr>
            <w:tcW w:w="944" w:type="dxa"/>
            <w:tcBorders>
              <w:top w:val="single" w:sz="8" w:space="0" w:color="auto"/>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60,429</w:t>
            </w:r>
          </w:p>
        </w:tc>
        <w:tc>
          <w:tcPr>
            <w:tcW w:w="1237"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84,000</w:t>
            </w:r>
          </w:p>
        </w:tc>
        <w:tc>
          <w:tcPr>
            <w:tcW w:w="933" w:type="dxa"/>
            <w:tcBorders>
              <w:top w:val="single" w:sz="8" w:space="0" w:color="auto"/>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16,800</w:t>
            </w:r>
          </w:p>
        </w:tc>
        <w:tc>
          <w:tcPr>
            <w:tcW w:w="1516"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77,229</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ASIL</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2</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393,408</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78,682</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62,945</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70,830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14,166</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77,111</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ASIL</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3</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390,881</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78,176</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62,541</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72,500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14,500</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77,041</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ASIL</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4</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383,262</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76,652</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61,322</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77,670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15,534</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76,856</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Yedek</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5</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376,854</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75,371</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60,297</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81,700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16,340</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76,637</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Yedek</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6</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372,330</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74,466</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59,573</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84,000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16,800</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76,373</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Yedek</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7</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355,809</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71,162</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56,929</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93,870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18,774</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75,703</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Yetersiz</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8</w:t>
            </w:r>
          </w:p>
        </w:tc>
        <w:tc>
          <w:tcPr>
            <w:tcW w:w="912"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color w:val="000000"/>
                <w:sz w:val="22"/>
                <w:szCs w:val="22"/>
              </w:rPr>
              <w:t>356,596</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71,319</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57,055</w:t>
            </w:r>
          </w:p>
        </w:tc>
        <w:tc>
          <w:tcPr>
            <w:tcW w:w="1237"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color w:val="000000"/>
                <w:sz w:val="22"/>
                <w:szCs w:val="22"/>
              </w:rPr>
              <w:t>92,760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18,552</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75,607</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Yetersiz</w:t>
            </w:r>
          </w:p>
        </w:tc>
      </w:tr>
    </w:tbl>
    <w:p w:rsidR="00024B97" w:rsidRDefault="00024B97" w:rsidP="00024B97">
      <w:pPr>
        <w:ind w:firstLine="708"/>
        <w:jc w:val="both"/>
        <w:rPr>
          <w:b/>
          <w:color w:val="FF0000"/>
        </w:rPr>
      </w:pPr>
    </w:p>
    <w:p w:rsidR="00024B97" w:rsidRDefault="00024B97" w:rsidP="00024B97">
      <w:pPr>
        <w:tabs>
          <w:tab w:val="left" w:pos="360"/>
        </w:tabs>
        <w:jc w:val="both"/>
      </w:pPr>
      <w:r>
        <w:lastRenderedPageBreak/>
        <w:tab/>
      </w:r>
      <w:r w:rsidRPr="00242CD0">
        <w:t>(3)</w:t>
      </w:r>
      <w:r w:rsidR="006E2A6A">
        <w:t xml:space="preserve">Başvuru koşullarını sağlayan ve değerlendirmeye alınan adaylar, kontenjan sayısı kadar asıl ve yedek aday olarak ilan edilir. Belirlenen süre içinde asıl adaylardan başvuru yapılmaması halinde sırayla ilan edilen yedek adaylara kayıt hakkı verilir. </w:t>
      </w:r>
      <w:r w:rsidRPr="00FC6574">
        <w:rPr>
          <w:color w:val="FF0000"/>
          <w:sz w:val="28"/>
          <w:szCs w:val="28"/>
        </w:rPr>
        <w:t>*</w:t>
      </w:r>
    </w:p>
    <w:p w:rsidR="00024B97" w:rsidRPr="00242CD0" w:rsidRDefault="00024B97" w:rsidP="00024B97">
      <w:pPr>
        <w:tabs>
          <w:tab w:val="left" w:pos="360"/>
        </w:tabs>
        <w:jc w:val="both"/>
      </w:pPr>
    </w:p>
    <w:p w:rsidR="00024B97" w:rsidRDefault="00024B97" w:rsidP="00024B97">
      <w:pPr>
        <w:pStyle w:val="Default"/>
        <w:ind w:firstLine="708"/>
        <w:jc w:val="both"/>
      </w:pPr>
      <w:r>
        <w:rPr>
          <w:b/>
          <w:bCs/>
        </w:rPr>
        <w:t xml:space="preserve">Yurt dışı yükseköğretim kurumlarından üniversitemize yatay geçiş </w:t>
      </w:r>
    </w:p>
    <w:p w:rsidR="00024B97" w:rsidRDefault="00024B97" w:rsidP="00024B97">
      <w:pPr>
        <w:pStyle w:val="Default"/>
        <w:ind w:firstLine="708"/>
        <w:jc w:val="both"/>
      </w:pPr>
      <w:r>
        <w:rPr>
          <w:b/>
          <w:bCs/>
        </w:rPr>
        <w:t xml:space="preserve">MADDE 11– </w:t>
      </w:r>
      <w:r>
        <w:t>(1)</w:t>
      </w:r>
      <w:r>
        <w:rPr>
          <w:iCs/>
        </w:rPr>
        <w:t>Üniversitemiz Senatosu</w:t>
      </w:r>
      <w:r>
        <w:rPr>
          <w:i/>
          <w:iCs/>
        </w:rPr>
        <w:t xml:space="preserve"> </w:t>
      </w:r>
      <w:r>
        <w:t xml:space="preserve">tarafından yurtdışındaki yükseköğretim kurumlarından yapılacak yatay geçişler için kontenjan ve şartlar belirlenebilir ve belirlenen kontenjan ve şartlar Üniversite web sayfasında ilan edilir. Ayrıca, </w:t>
      </w:r>
      <w:r>
        <w:rPr>
          <w:iCs/>
        </w:rPr>
        <w:t>Yükseköğretim Kurulu</w:t>
      </w:r>
      <w:r>
        <w:rPr>
          <w:i/>
          <w:iCs/>
        </w:rPr>
        <w:t xml:space="preserve"> </w:t>
      </w:r>
      <w:r>
        <w:t xml:space="preserve">Başkanlığı web sayfasında tüm yükseköğretim kurumlarının yurt dışı öğrenci kontenjanları ile başvuru şartları ve değerlendirme takvimi ilan edilir. </w:t>
      </w:r>
    </w:p>
    <w:p w:rsidR="00024B97" w:rsidRDefault="00024B97" w:rsidP="00024B97">
      <w:pPr>
        <w:pStyle w:val="Default"/>
        <w:ind w:firstLine="708"/>
        <w:jc w:val="both"/>
        <w:rPr>
          <w:color w:val="FF0000"/>
        </w:rPr>
      </w:pPr>
      <w:r>
        <w:t xml:space="preserve">(2) Yabancı ülkelerdeki yükseköğretim kurumlarından Üniversitemize geçiş için, öğrencinin bitirmiş olduğu dönemlere ait akademik ortalamasının en az </w:t>
      </w:r>
      <w:r>
        <w:rPr>
          <w:color w:val="auto"/>
        </w:rPr>
        <w:t xml:space="preserve">3.00 </w:t>
      </w:r>
      <w:r>
        <w:t>veya varsa ÖSYM yerleştirme puanı geçiş yapmak istediği diploma programının taban puanına eşit veya yüksek olması şarttır.</w:t>
      </w:r>
      <w:r>
        <w:rPr>
          <w:color w:val="FF0000"/>
        </w:rPr>
        <w:t xml:space="preserve"> </w:t>
      </w:r>
    </w:p>
    <w:p w:rsidR="00024B97" w:rsidRDefault="00024B97" w:rsidP="00024B97">
      <w:pPr>
        <w:pStyle w:val="Default"/>
        <w:jc w:val="both"/>
      </w:pPr>
      <w:r>
        <w:t xml:space="preserve"> </w:t>
      </w:r>
      <w:r>
        <w:tab/>
      </w:r>
      <w:proofErr w:type="gramStart"/>
      <w:r>
        <w:t xml:space="preserve">(3) Yurtdışı üniversitelerden yapılan başvurularda öğrencinin yurt dışında öğrenim gördüğü yükseköğretim kurumunun ve eğitimin yapıldığı programın ön lisans veya lisans diploma vermeye yetkili bir kurum olarak </w:t>
      </w:r>
      <w:r>
        <w:rPr>
          <w:iCs/>
        </w:rPr>
        <w:t>Yükseköğretim Kurulu</w:t>
      </w:r>
      <w:r>
        <w:t xml:space="preserve"> tarafından tanınması ve kayıtlı olduğu diploma programının, yatay geçiş için başvurduğu </w:t>
      </w:r>
      <w:proofErr w:type="spellStart"/>
      <w:r>
        <w:t>önlisans</w:t>
      </w:r>
      <w:proofErr w:type="spellEnd"/>
      <w:r>
        <w:t xml:space="preserve"> veya lisans diploma programına eşdeğerliğinin </w:t>
      </w:r>
      <w:r>
        <w:rPr>
          <w:iCs/>
        </w:rPr>
        <w:t>Üniversitemiz</w:t>
      </w:r>
      <w:r>
        <w:rPr>
          <w:i/>
          <w:iCs/>
        </w:rPr>
        <w:t xml:space="preserve"> </w:t>
      </w:r>
      <w:r>
        <w:t xml:space="preserve">tarafından kabul edilmesi şartı aranır. </w:t>
      </w:r>
      <w:proofErr w:type="gramEnd"/>
    </w:p>
    <w:p w:rsidR="00024B97" w:rsidRDefault="00024B97" w:rsidP="00024B97">
      <w:pPr>
        <w:pStyle w:val="Default"/>
        <w:ind w:firstLine="708"/>
        <w:jc w:val="both"/>
      </w:pPr>
      <w:r>
        <w:t xml:space="preserve">(4)Yurtdışında yükseköğretime başlayan öğrencilerin Türkiye’deki yükseköğretim programlarına geçiş başvurularının değerlendirilmesinde kullanılacak olan </w:t>
      </w:r>
      <w:r>
        <w:rPr>
          <w:iCs/>
        </w:rPr>
        <w:t>ÖSYM</w:t>
      </w:r>
      <w:r>
        <w:rPr>
          <w:i/>
          <w:iCs/>
        </w:rPr>
        <w:t xml:space="preserve"> </w:t>
      </w:r>
      <w:r>
        <w:t xml:space="preserve">tarafından yapılan sınavlardaki taban puanlar ile bunlara eşdeğerliği kabul edilen sınavlar ve puanları, üniversiteler tarafından belirlenen yurtdışı yatay geçiş kontenjanları ile birlikte </w:t>
      </w:r>
      <w:r>
        <w:rPr>
          <w:iCs/>
        </w:rPr>
        <w:t>Yükseköğretim Kurulu</w:t>
      </w:r>
      <w:r>
        <w:rPr>
          <w:i/>
          <w:iCs/>
        </w:rPr>
        <w:t xml:space="preserve"> </w:t>
      </w:r>
      <w:r>
        <w:t xml:space="preserve">tarafından ilan edilir. Adayların, yatay geçiş başvurusu yapabilmeleri için en az ilan edilen puanlara veya üzerindeki puanlara sahip olmaları gerekir. </w:t>
      </w:r>
    </w:p>
    <w:p w:rsidR="00024B97" w:rsidRDefault="00024B97" w:rsidP="00024B97">
      <w:pPr>
        <w:pStyle w:val="Default"/>
        <w:jc w:val="both"/>
        <w:rPr>
          <w:color w:val="C00000"/>
        </w:rPr>
      </w:pPr>
    </w:p>
    <w:p w:rsidR="00024B97" w:rsidRDefault="00024B97" w:rsidP="00024B97">
      <w:pPr>
        <w:pStyle w:val="Default"/>
        <w:jc w:val="center"/>
        <w:rPr>
          <w:b/>
          <w:bCs/>
        </w:rPr>
      </w:pPr>
      <w:r>
        <w:rPr>
          <w:b/>
          <w:bCs/>
        </w:rPr>
        <w:t>BEŞİNCİ BÖLÜM</w:t>
      </w:r>
    </w:p>
    <w:p w:rsidR="00024B97" w:rsidRDefault="00024B97" w:rsidP="00024B97">
      <w:pPr>
        <w:pStyle w:val="3-NormalYaz"/>
        <w:spacing w:line="240" w:lineRule="exact"/>
        <w:jc w:val="center"/>
        <w:rPr>
          <w:rFonts w:eastAsia="ヒラギノ明朝 Pro W3"/>
          <w:b/>
          <w:sz w:val="24"/>
          <w:szCs w:val="24"/>
        </w:rPr>
      </w:pPr>
      <w:r>
        <w:rPr>
          <w:rFonts w:eastAsia="ヒラギノ明朝 Pro W3"/>
          <w:b/>
          <w:sz w:val="24"/>
          <w:szCs w:val="24"/>
        </w:rPr>
        <w:t>Merkezi yerleştirme puanıyla yatay geçiş</w:t>
      </w:r>
    </w:p>
    <w:p w:rsidR="00024B97" w:rsidRDefault="00024B97" w:rsidP="00024B97">
      <w:pPr>
        <w:pStyle w:val="Default"/>
        <w:jc w:val="center"/>
        <w:rPr>
          <w:b/>
          <w:bCs/>
        </w:rPr>
      </w:pPr>
    </w:p>
    <w:p w:rsidR="00024B97" w:rsidRDefault="00024B97" w:rsidP="00024B97">
      <w:pPr>
        <w:pStyle w:val="3-NormalYaz"/>
        <w:spacing w:line="240" w:lineRule="exact"/>
        <w:rPr>
          <w:rFonts w:eastAsia="ヒラギノ明朝 Pro W3"/>
          <w:b/>
          <w:sz w:val="24"/>
          <w:szCs w:val="24"/>
        </w:rPr>
      </w:pPr>
      <w:r>
        <w:rPr>
          <w:rFonts w:eastAsia="ヒラギノ明朝 Pro W3"/>
          <w:b/>
          <w:sz w:val="24"/>
          <w:szCs w:val="24"/>
        </w:rPr>
        <w:tab/>
        <w:t>Merkezi yerleştirme puanıyla yatay geçiş</w:t>
      </w:r>
    </w:p>
    <w:p w:rsidR="00024B97" w:rsidRDefault="00024B97" w:rsidP="00024B97">
      <w:pPr>
        <w:tabs>
          <w:tab w:val="left" w:pos="566"/>
        </w:tabs>
        <w:spacing w:line="240" w:lineRule="exact"/>
        <w:jc w:val="both"/>
      </w:pPr>
      <w:r>
        <w:rPr>
          <w:rFonts w:eastAsia="ヒラギノ明朝 Pro W3"/>
          <w:b/>
          <w:lang w:eastAsia="en-US"/>
        </w:rPr>
        <w:tab/>
        <w:t>EK MADDE 1–</w:t>
      </w:r>
      <w:r>
        <w:t xml:space="preserve">(1)Öğrencinin kayıt olduğu yıldaki merkezi yerleştirme puanı, geçmek istediği diploma programının taban puanına eşit veya yüksek olması durumunda; öğrenci, hazırlık sınıfı da </w:t>
      </w:r>
      <w:proofErr w:type="gramStart"/>
      <w:r>
        <w:t>dahil</w:t>
      </w:r>
      <w:proofErr w:type="gramEnd"/>
      <w:r>
        <w:t xml:space="preserve"> olmak üzere yatay geçiş için başvuru yapabilir. Programa yatay geçişe ilişkin başvuru takvimi, öğrenci kontenjanına ilişkin esaslar ile yatay geçişlere ait usul ve esaslar Yükseköğretim Yürütme Kurulu tarafından tespit edilir. Belirlenen usul ve esaslar uyarınca öğrencilerin başvuruları, Üniversitemizin ilgili akademik birimlerin kurulları tarafından değerlendirilerek yatay geçişleri kabul edilir. Başvurunun kontenjandan fazla olduğu durumlarda, ÖSYM Yerleştirme puanı en yüksek adaydan başlanarak sıralama yapılır, kontenjan kadar adayın yatay geçişi kabul edilir.</w:t>
      </w:r>
    </w:p>
    <w:p w:rsidR="00024B97" w:rsidRDefault="00024B97" w:rsidP="00024B97">
      <w:pPr>
        <w:pStyle w:val="Default"/>
        <w:jc w:val="both"/>
        <w:rPr>
          <w:b/>
          <w:bCs/>
        </w:rPr>
      </w:pPr>
    </w:p>
    <w:p w:rsidR="00024B97" w:rsidRDefault="00024B97" w:rsidP="00024B97">
      <w:pPr>
        <w:pStyle w:val="Default"/>
        <w:jc w:val="both"/>
        <w:rPr>
          <w:b/>
          <w:bCs/>
        </w:rPr>
      </w:pPr>
    </w:p>
    <w:p w:rsidR="00024B97" w:rsidRDefault="00024B97" w:rsidP="00024B97">
      <w:pPr>
        <w:pStyle w:val="Default"/>
        <w:jc w:val="center"/>
        <w:rPr>
          <w:b/>
          <w:bCs/>
        </w:rPr>
      </w:pPr>
      <w:r>
        <w:rPr>
          <w:b/>
          <w:bCs/>
        </w:rPr>
        <w:t>ALTINCI BÖLÜM</w:t>
      </w:r>
    </w:p>
    <w:p w:rsidR="00024B97" w:rsidRDefault="00024B97" w:rsidP="00024B97">
      <w:pPr>
        <w:pStyle w:val="Default"/>
        <w:jc w:val="center"/>
        <w:rPr>
          <w:b/>
          <w:bCs/>
        </w:rPr>
      </w:pPr>
      <w:r>
        <w:rPr>
          <w:b/>
          <w:bCs/>
        </w:rPr>
        <w:t>Son Hükümler</w:t>
      </w:r>
    </w:p>
    <w:p w:rsidR="00024B97" w:rsidRDefault="00024B97" w:rsidP="00024B97">
      <w:pPr>
        <w:pStyle w:val="Default"/>
        <w:ind w:firstLine="708"/>
        <w:jc w:val="both"/>
      </w:pPr>
      <w:r>
        <w:rPr>
          <w:b/>
          <w:bCs/>
        </w:rPr>
        <w:t xml:space="preserve">Gerçeğe aykırı beyan </w:t>
      </w:r>
    </w:p>
    <w:p w:rsidR="00024B97" w:rsidRDefault="00024B97" w:rsidP="00024B97">
      <w:pPr>
        <w:pStyle w:val="Default"/>
        <w:ind w:firstLine="708"/>
        <w:jc w:val="both"/>
        <w:rPr>
          <w:b/>
          <w:bCs/>
        </w:rPr>
      </w:pPr>
      <w:r>
        <w:rPr>
          <w:b/>
          <w:bCs/>
        </w:rPr>
        <w:t>MADDE 12-</w:t>
      </w:r>
      <w:r>
        <w:rPr>
          <w:bCs/>
        </w:rPr>
        <w:t>(1)Yatay geçişlerde öğrencinin müracaatında verdiği bilgi ve belgelerin doğru olmadığının tespit edilmesi halinde, öğrencinin kaydı geçersiz sayılır ve Üniversitemizden ilişiği kesilir.</w:t>
      </w:r>
    </w:p>
    <w:p w:rsidR="00024B97" w:rsidRDefault="00024B97" w:rsidP="00024B97">
      <w:pPr>
        <w:pStyle w:val="Default"/>
        <w:ind w:firstLine="708"/>
        <w:jc w:val="both"/>
      </w:pPr>
      <w:r>
        <w:rPr>
          <w:b/>
          <w:bCs/>
        </w:rPr>
        <w:t xml:space="preserve">Hüküm bulunmayan haller </w:t>
      </w:r>
    </w:p>
    <w:p w:rsidR="00024B97" w:rsidRDefault="00024B97" w:rsidP="00024B97">
      <w:pPr>
        <w:pStyle w:val="Default"/>
        <w:ind w:firstLine="708"/>
        <w:jc w:val="both"/>
      </w:pPr>
      <w:r>
        <w:rPr>
          <w:b/>
          <w:bCs/>
        </w:rPr>
        <w:t xml:space="preserve">MADDE 13– </w:t>
      </w:r>
      <w:r>
        <w:t xml:space="preserve">(1)Bu Yönergede hüküm bulunmayan hallerde, </w:t>
      </w:r>
      <w:r w:rsidRPr="00774CE2">
        <w:t>“</w:t>
      </w:r>
      <w:r w:rsidRPr="00774CE2">
        <w:rPr>
          <w:iCs/>
        </w:rPr>
        <w:t>Yükseköğretim Kurumlarında Ön Lisans ve Lisans Düzeyindeki Programlar Arasında Geçiş, Çift Ana Dal, Yan Dal ile Kurumlar Arası Kredi Transferi Yapılması Esaslarına İlişkin Yönetmelik</w:t>
      </w:r>
      <w:r>
        <w:rPr>
          <w:i/>
        </w:rPr>
        <w:t>”</w:t>
      </w:r>
      <w:r>
        <w:t xml:space="preserve"> in ilgili hükümleri uygulanır. </w:t>
      </w:r>
    </w:p>
    <w:p w:rsidR="00024B97" w:rsidRDefault="00024B97" w:rsidP="00024B97">
      <w:pPr>
        <w:pStyle w:val="Default"/>
        <w:ind w:firstLine="708"/>
        <w:jc w:val="both"/>
      </w:pPr>
      <w:r>
        <w:rPr>
          <w:b/>
          <w:bCs/>
        </w:rPr>
        <w:lastRenderedPageBreak/>
        <w:t xml:space="preserve">Yürürlük </w:t>
      </w:r>
    </w:p>
    <w:p w:rsidR="00024B97" w:rsidRDefault="00024B97" w:rsidP="00024B97">
      <w:pPr>
        <w:pStyle w:val="Default"/>
        <w:ind w:firstLine="708"/>
        <w:jc w:val="both"/>
      </w:pPr>
      <w:r>
        <w:rPr>
          <w:b/>
          <w:bCs/>
        </w:rPr>
        <w:t xml:space="preserve">MADDE 14– </w:t>
      </w:r>
      <w:r>
        <w:t xml:space="preserve">(1) Bu Yönerge, </w:t>
      </w:r>
      <w:r>
        <w:rPr>
          <w:iCs/>
        </w:rPr>
        <w:t>Pamukkale Üniversitesi Senatosu</w:t>
      </w:r>
      <w:r>
        <w:rPr>
          <w:i/>
          <w:iCs/>
        </w:rPr>
        <w:t xml:space="preserve"> </w:t>
      </w:r>
      <w:r>
        <w:t xml:space="preserve">tarafından kabul edildiği tarihte yürürlüğe girer. </w:t>
      </w:r>
    </w:p>
    <w:p w:rsidR="00024B97" w:rsidRDefault="00024B97" w:rsidP="00024B97">
      <w:pPr>
        <w:pStyle w:val="Default"/>
        <w:ind w:firstLine="708"/>
        <w:jc w:val="both"/>
      </w:pPr>
      <w:r>
        <w:rPr>
          <w:b/>
          <w:bCs/>
        </w:rPr>
        <w:t xml:space="preserve">Yürütme </w:t>
      </w:r>
    </w:p>
    <w:p w:rsidR="00024B97" w:rsidRDefault="00024B97" w:rsidP="00024B97">
      <w:pPr>
        <w:ind w:firstLine="708"/>
        <w:jc w:val="both"/>
      </w:pPr>
      <w:r>
        <w:rPr>
          <w:b/>
          <w:bCs/>
        </w:rPr>
        <w:t xml:space="preserve">MADDE 15– </w:t>
      </w:r>
      <w:r>
        <w:t>(1)Bu Yönerge hükümlerini Pamukkale Üniversitesi Rektörü yürütür.</w:t>
      </w:r>
    </w:p>
    <w:p w:rsidR="00024B97" w:rsidRDefault="00024B97" w:rsidP="00024B97">
      <w:pPr>
        <w:jc w:val="both"/>
      </w:pPr>
    </w:p>
    <w:p w:rsidR="00024B97" w:rsidRDefault="00024B97" w:rsidP="00024B97">
      <w:pPr>
        <w:jc w:val="both"/>
      </w:pPr>
    </w:p>
    <w:p w:rsidR="00024B97" w:rsidRDefault="00024B97" w:rsidP="00024B97">
      <w:pPr>
        <w:jc w:val="both"/>
      </w:pPr>
    </w:p>
    <w:p w:rsidR="00024B97" w:rsidRPr="001C2505" w:rsidRDefault="00024B97" w:rsidP="00024B97">
      <w:pPr>
        <w:ind w:right="-468"/>
        <w:jc w:val="both"/>
      </w:pPr>
    </w:p>
    <w:p w:rsidR="00024B97" w:rsidRPr="0096047E" w:rsidRDefault="00024B97" w:rsidP="00024B97">
      <w:pPr>
        <w:tabs>
          <w:tab w:val="left" w:pos="540"/>
        </w:tabs>
        <w:ind w:left="540" w:hanging="540"/>
        <w:rPr>
          <w:color w:val="0070C0"/>
        </w:rPr>
      </w:pPr>
      <w:proofErr w:type="gramStart"/>
      <w:r w:rsidRPr="0096047E">
        <w:rPr>
          <w:color w:val="0070C0"/>
        </w:rPr>
        <w:t>NOT : Bu</w:t>
      </w:r>
      <w:proofErr w:type="gramEnd"/>
      <w:r w:rsidRPr="0096047E">
        <w:rPr>
          <w:color w:val="0070C0"/>
        </w:rPr>
        <w:t xml:space="preserve"> Yönerge; Üniversitemiz Senatonun </w:t>
      </w:r>
      <w:r>
        <w:rPr>
          <w:color w:val="0070C0"/>
        </w:rPr>
        <w:t xml:space="preserve">30.05.2014 </w:t>
      </w:r>
      <w:r w:rsidRPr="0096047E">
        <w:rPr>
          <w:color w:val="0070C0"/>
        </w:rPr>
        <w:t xml:space="preserve">tarih ve </w:t>
      </w:r>
      <w:r>
        <w:rPr>
          <w:color w:val="0070C0"/>
        </w:rPr>
        <w:t>05/2-B</w:t>
      </w:r>
      <w:r w:rsidRPr="0096047E">
        <w:rPr>
          <w:color w:val="0070C0"/>
        </w:rPr>
        <w:t xml:space="preserve"> sayılı kararı ile kabul   edilmiştir.</w:t>
      </w:r>
    </w:p>
    <w:p w:rsidR="00024B97" w:rsidRDefault="00024B97" w:rsidP="00024B97"/>
    <w:p w:rsidR="00024B97" w:rsidRDefault="00024B97" w:rsidP="00024B97">
      <w:pPr>
        <w:rPr>
          <w:color w:val="FF0000"/>
        </w:rPr>
      </w:pPr>
      <w:r w:rsidRPr="00FC6574">
        <w:rPr>
          <w:color w:val="FF0000"/>
        </w:rPr>
        <w:t xml:space="preserve">*Üniversite </w:t>
      </w:r>
      <w:proofErr w:type="gramStart"/>
      <w:r w:rsidRPr="00FC6574">
        <w:rPr>
          <w:color w:val="FF0000"/>
        </w:rPr>
        <w:t xml:space="preserve">Senatosunun  </w:t>
      </w:r>
      <w:r w:rsidR="00FC6574">
        <w:rPr>
          <w:color w:val="FF0000"/>
        </w:rPr>
        <w:t>21</w:t>
      </w:r>
      <w:proofErr w:type="gramEnd"/>
      <w:r w:rsidR="00FC6574">
        <w:rPr>
          <w:color w:val="FF0000"/>
        </w:rPr>
        <w:t xml:space="preserve">.08.2015 tarih ve 09/02 </w:t>
      </w:r>
      <w:r w:rsidRPr="00FC6574">
        <w:rPr>
          <w:color w:val="FF0000"/>
        </w:rPr>
        <w:t xml:space="preserve"> say</w:t>
      </w:r>
      <w:r w:rsidR="00505389">
        <w:rPr>
          <w:color w:val="FF0000"/>
        </w:rPr>
        <w:t>ılı kararıyla değiştirilmiştir.</w:t>
      </w:r>
    </w:p>
    <w:p w:rsidR="00505389" w:rsidRPr="00FC6574" w:rsidRDefault="00505389" w:rsidP="00505389">
      <w:pPr>
        <w:rPr>
          <w:color w:val="FF0000"/>
        </w:rPr>
      </w:pPr>
      <w:r w:rsidRPr="00FC6574">
        <w:rPr>
          <w:color w:val="FF0000"/>
        </w:rPr>
        <w:t>*</w:t>
      </w:r>
      <w:r>
        <w:rPr>
          <w:color w:val="FF0000"/>
        </w:rPr>
        <w:t>*</w:t>
      </w:r>
      <w:r w:rsidRPr="00FC6574">
        <w:rPr>
          <w:color w:val="FF0000"/>
        </w:rPr>
        <w:t xml:space="preserve">Üniversite Senatosunun  </w:t>
      </w:r>
      <w:r>
        <w:rPr>
          <w:color w:val="FF0000"/>
        </w:rPr>
        <w:t xml:space="preserve">13.10.2017 tarih ve 16/2 </w:t>
      </w:r>
      <w:r w:rsidRPr="00FC6574">
        <w:rPr>
          <w:color w:val="FF0000"/>
        </w:rPr>
        <w:t xml:space="preserve"> sayılı kararıyla değiştirilmiştir</w:t>
      </w:r>
      <w:proofErr w:type="gramStart"/>
      <w:r w:rsidRPr="00FC6574">
        <w:rPr>
          <w:color w:val="FF0000"/>
        </w:rPr>
        <w:t>..</w:t>
      </w:r>
      <w:proofErr w:type="gramEnd"/>
    </w:p>
    <w:p w:rsidR="00505389" w:rsidRPr="00FC6574" w:rsidRDefault="00505389" w:rsidP="00024B97">
      <w:pPr>
        <w:rPr>
          <w:color w:val="FF0000"/>
        </w:rPr>
      </w:pPr>
    </w:p>
    <w:p w:rsidR="00024B97" w:rsidRDefault="00024B97" w:rsidP="00024B97"/>
    <w:p w:rsidR="003011A8" w:rsidRDefault="003011A8"/>
    <w:sectPr w:rsidR="003011A8" w:rsidSect="003D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1B"/>
    <w:rsid w:val="00024B97"/>
    <w:rsid w:val="001F461B"/>
    <w:rsid w:val="003011A8"/>
    <w:rsid w:val="003D4469"/>
    <w:rsid w:val="00505389"/>
    <w:rsid w:val="006E2A6A"/>
    <w:rsid w:val="008C5EF4"/>
    <w:rsid w:val="00B300D7"/>
    <w:rsid w:val="00ED2858"/>
    <w:rsid w:val="00F72A42"/>
    <w:rsid w:val="00FC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9A17"/>
  <w15:docId w15:val="{8A3C6A39-854F-4CB5-8A33-3E73433B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9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4B97"/>
    <w:pPr>
      <w:autoSpaceDE w:val="0"/>
      <w:autoSpaceDN w:val="0"/>
      <w:adjustRightInd w:val="0"/>
    </w:pPr>
    <w:rPr>
      <w:rFonts w:ascii="Times New Roman" w:hAnsi="Times New Roman"/>
      <w:color w:val="000000"/>
      <w:sz w:val="24"/>
      <w:szCs w:val="24"/>
      <w:lang w:eastAsia="en-US"/>
    </w:rPr>
  </w:style>
  <w:style w:type="paragraph" w:customStyle="1" w:styleId="3-NormalYaz">
    <w:name w:val="3-Normal Yazı"/>
    <w:rsid w:val="00024B97"/>
    <w:pPr>
      <w:tabs>
        <w:tab w:val="left" w:pos="566"/>
      </w:tabs>
      <w:jc w:val="both"/>
    </w:pPr>
    <w:rPr>
      <w:rFonts w:ascii="Times New Roman" w:eastAsia="Times New Roman" w:hAnsi="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Windows Kullanıcısı</cp:lastModifiedBy>
  <cp:revision>2</cp:revision>
  <dcterms:created xsi:type="dcterms:W3CDTF">2017-11-07T10:22:00Z</dcterms:created>
  <dcterms:modified xsi:type="dcterms:W3CDTF">2017-11-07T10:22:00Z</dcterms:modified>
</cp:coreProperties>
</file>