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882" w:rsidRPr="00483898" w:rsidRDefault="00C71882" w:rsidP="00C71882">
      <w:pPr>
        <w:spacing w:before="100" w:beforeAutospacing="1" w:after="100" w:afterAutospacing="1" w:line="300" w:lineRule="atLeast"/>
        <w:ind w:firstLine="567"/>
        <w:jc w:val="center"/>
        <w:rPr>
          <w:color w:val="FF0000"/>
          <w:sz w:val="24"/>
          <w:szCs w:val="24"/>
        </w:rPr>
      </w:pPr>
      <w:bookmarkStart w:id="0" w:name="_GoBack"/>
      <w:r w:rsidRPr="00483898">
        <w:rPr>
          <w:b/>
          <w:bCs/>
          <w:color w:val="FF0000"/>
          <w:sz w:val="24"/>
          <w:szCs w:val="24"/>
        </w:rPr>
        <w:t>PAMUKKALE ÜNİVERSİTESİ YABANCI DİLLER YÜKSEKOKULU ÖN LİSANS VE   LİSANS YABANCI DİL HAZIRLIK MODÜLER EĞİTİM VE ÖĞRETİM YÖNERGESİ</w:t>
      </w:r>
    </w:p>
    <w:bookmarkEnd w:id="0"/>
    <w:p w:rsidR="00C71882" w:rsidRPr="007C5610" w:rsidRDefault="00C71882" w:rsidP="007C5610">
      <w:pPr>
        <w:spacing w:before="100" w:beforeAutospacing="1" w:after="100" w:afterAutospacing="1"/>
        <w:ind w:firstLine="567"/>
        <w:contextualSpacing/>
        <w:jc w:val="center"/>
        <w:rPr>
          <w:b/>
          <w:bCs/>
          <w:sz w:val="24"/>
          <w:szCs w:val="24"/>
        </w:rPr>
      </w:pPr>
      <w:r w:rsidRPr="00906F5F">
        <w:rPr>
          <w:b/>
          <w:bCs/>
          <w:sz w:val="24"/>
          <w:szCs w:val="24"/>
        </w:rPr>
        <w:t>BİRİNCİ BÖLÜM</w:t>
      </w:r>
    </w:p>
    <w:p w:rsidR="00C71882" w:rsidRPr="007C5610" w:rsidRDefault="00C71882" w:rsidP="007C5610">
      <w:pPr>
        <w:widowControl w:val="0"/>
        <w:spacing w:before="100" w:beforeAutospacing="1" w:after="100" w:afterAutospacing="1"/>
        <w:ind w:firstLine="567"/>
        <w:contextualSpacing/>
        <w:jc w:val="center"/>
        <w:outlineLvl w:val="5"/>
        <w:rPr>
          <w:b/>
          <w:bCs/>
          <w:sz w:val="24"/>
          <w:szCs w:val="24"/>
        </w:rPr>
      </w:pPr>
      <w:r w:rsidRPr="00906F5F">
        <w:rPr>
          <w:b/>
          <w:bCs/>
          <w:sz w:val="24"/>
          <w:szCs w:val="24"/>
        </w:rPr>
        <w:t>Amaç, Kapsam, Dayanak ve Tanımlar</w:t>
      </w:r>
    </w:p>
    <w:p w:rsidR="00C71882" w:rsidRPr="007C5610" w:rsidRDefault="00C71882" w:rsidP="007C5610">
      <w:pPr>
        <w:widowControl w:val="0"/>
        <w:spacing w:before="100" w:beforeAutospacing="1" w:after="100" w:afterAutospacing="1"/>
        <w:ind w:firstLine="567"/>
        <w:contextualSpacing/>
        <w:outlineLvl w:val="0"/>
        <w:rPr>
          <w:b/>
          <w:bCs/>
          <w:sz w:val="24"/>
          <w:szCs w:val="24"/>
        </w:rPr>
      </w:pPr>
      <w:r w:rsidRPr="00906F5F">
        <w:rPr>
          <w:b/>
          <w:bCs/>
          <w:sz w:val="24"/>
          <w:szCs w:val="24"/>
        </w:rPr>
        <w:t>Amaç ve kapsam</w:t>
      </w:r>
    </w:p>
    <w:p w:rsidR="00C71882" w:rsidRPr="00906F5F" w:rsidRDefault="00C71882" w:rsidP="00C71882">
      <w:pPr>
        <w:spacing w:before="100" w:beforeAutospacing="1" w:after="100" w:afterAutospacing="1" w:line="300" w:lineRule="atLeast"/>
        <w:ind w:firstLine="567"/>
        <w:jc w:val="both"/>
        <w:rPr>
          <w:sz w:val="24"/>
          <w:szCs w:val="24"/>
        </w:rPr>
      </w:pPr>
      <w:r w:rsidRPr="00906F5F">
        <w:rPr>
          <w:b/>
          <w:bCs/>
          <w:sz w:val="24"/>
          <w:szCs w:val="24"/>
        </w:rPr>
        <w:t>MADDE 1 –</w:t>
      </w:r>
      <w:r w:rsidRPr="00906F5F">
        <w:rPr>
          <w:sz w:val="24"/>
          <w:szCs w:val="24"/>
        </w:rPr>
        <w:t xml:space="preserve"> (1) Bu Yönergenin amacı ve kapsamı; Pamukkale Üniversitesi Yabancı Diller Yüksekokulu tarafından yürütülen fakülte, yüksekokul, meslek yüksekokullarına ait hazırlık programı öğretiminde uygulanacak usul ve esasları düzenlemektir.</w:t>
      </w:r>
    </w:p>
    <w:p w:rsidR="00C71882" w:rsidRPr="00906F5F" w:rsidRDefault="00C71882" w:rsidP="007C5610">
      <w:pPr>
        <w:spacing w:before="100" w:beforeAutospacing="1" w:after="100" w:afterAutospacing="1"/>
        <w:ind w:firstLine="567"/>
        <w:contextualSpacing/>
        <w:jc w:val="both"/>
        <w:rPr>
          <w:sz w:val="24"/>
          <w:szCs w:val="24"/>
        </w:rPr>
      </w:pPr>
      <w:r w:rsidRPr="00906F5F">
        <w:rPr>
          <w:b/>
          <w:bCs/>
          <w:sz w:val="24"/>
          <w:szCs w:val="24"/>
        </w:rPr>
        <w:t>Dayanak</w:t>
      </w:r>
    </w:p>
    <w:p w:rsidR="00C71882" w:rsidRDefault="00C71882" w:rsidP="007C5610">
      <w:pPr>
        <w:spacing w:before="100" w:beforeAutospacing="1" w:after="100" w:afterAutospacing="1"/>
        <w:ind w:firstLine="567"/>
        <w:contextualSpacing/>
        <w:jc w:val="both"/>
        <w:rPr>
          <w:sz w:val="24"/>
          <w:szCs w:val="24"/>
        </w:rPr>
      </w:pPr>
      <w:r w:rsidRPr="00906F5F">
        <w:rPr>
          <w:b/>
          <w:bCs/>
          <w:sz w:val="24"/>
          <w:szCs w:val="24"/>
        </w:rPr>
        <w:t xml:space="preserve">MADDE 2 – </w:t>
      </w:r>
      <w:r w:rsidRPr="00906F5F">
        <w:rPr>
          <w:sz w:val="24"/>
          <w:szCs w:val="24"/>
        </w:rPr>
        <w:t xml:space="preserve">(1) Bu Yönerge; </w:t>
      </w:r>
      <w:proofErr w:type="gramStart"/>
      <w:r w:rsidRPr="00906F5F">
        <w:rPr>
          <w:sz w:val="24"/>
          <w:szCs w:val="24"/>
        </w:rPr>
        <w:t>4/11/1981</w:t>
      </w:r>
      <w:proofErr w:type="gramEnd"/>
      <w:r w:rsidRPr="00906F5F">
        <w:rPr>
          <w:sz w:val="24"/>
          <w:szCs w:val="24"/>
        </w:rPr>
        <w:t xml:space="preserve"> tarihli ve 2547 sayılı Yükseköğretim Kanununun</w:t>
      </w:r>
      <w:r w:rsidR="003B5A22" w:rsidRPr="00906F5F">
        <w:rPr>
          <w:sz w:val="24"/>
          <w:szCs w:val="24"/>
        </w:rPr>
        <w:t xml:space="preserve"> 14 üncü ve 49 uncu maddeleri ile</w:t>
      </w:r>
      <w:r w:rsidR="00476B28" w:rsidRPr="00906F5F">
        <w:rPr>
          <w:sz w:val="24"/>
          <w:szCs w:val="24"/>
        </w:rPr>
        <w:t xml:space="preserve"> Pamukkale Üniversitesi </w:t>
      </w:r>
      <w:proofErr w:type="spellStart"/>
      <w:r w:rsidR="00476B28" w:rsidRPr="00906F5F">
        <w:rPr>
          <w:sz w:val="24"/>
          <w:szCs w:val="24"/>
        </w:rPr>
        <w:t>Önlisans</w:t>
      </w:r>
      <w:proofErr w:type="spellEnd"/>
      <w:r w:rsidR="00476B28" w:rsidRPr="00906F5F">
        <w:rPr>
          <w:sz w:val="24"/>
          <w:szCs w:val="24"/>
        </w:rPr>
        <w:t xml:space="preserve">, Lisans Eğitim </w:t>
      </w:r>
      <w:r w:rsidR="003B5A22" w:rsidRPr="00906F5F">
        <w:rPr>
          <w:sz w:val="24"/>
          <w:szCs w:val="24"/>
        </w:rPr>
        <w:t>v</w:t>
      </w:r>
      <w:r w:rsidR="00476B28" w:rsidRPr="00906F5F">
        <w:rPr>
          <w:sz w:val="24"/>
          <w:szCs w:val="24"/>
        </w:rPr>
        <w:t>e</w:t>
      </w:r>
      <w:r w:rsidR="003B5A22" w:rsidRPr="00906F5F">
        <w:rPr>
          <w:sz w:val="24"/>
          <w:szCs w:val="24"/>
        </w:rPr>
        <w:t xml:space="preserve"> Ö</w:t>
      </w:r>
      <w:r w:rsidR="00476B28" w:rsidRPr="00906F5F">
        <w:rPr>
          <w:sz w:val="24"/>
          <w:szCs w:val="24"/>
        </w:rPr>
        <w:t xml:space="preserve">ğretim Yönetmeliği ve Pamukkale Üniversitesi Yabancı Diller Yüksekokulu Ön Lisans </w:t>
      </w:r>
      <w:r w:rsidR="003B5A22" w:rsidRPr="00906F5F">
        <w:rPr>
          <w:sz w:val="24"/>
          <w:szCs w:val="24"/>
        </w:rPr>
        <w:t>v</w:t>
      </w:r>
      <w:r w:rsidR="00476B28" w:rsidRPr="00906F5F">
        <w:rPr>
          <w:sz w:val="24"/>
          <w:szCs w:val="24"/>
        </w:rPr>
        <w:t xml:space="preserve">e Lisans Yabancı Dil Hazırlık </w:t>
      </w:r>
      <w:r w:rsidR="00946814">
        <w:rPr>
          <w:sz w:val="24"/>
          <w:szCs w:val="24"/>
        </w:rPr>
        <w:t>v</w:t>
      </w:r>
      <w:r w:rsidR="00476B28" w:rsidRPr="00906F5F">
        <w:rPr>
          <w:sz w:val="24"/>
          <w:szCs w:val="24"/>
        </w:rPr>
        <w:t xml:space="preserve">e Yabancı Dil Eğitim </w:t>
      </w:r>
      <w:r w:rsidR="00946814">
        <w:rPr>
          <w:sz w:val="24"/>
          <w:szCs w:val="24"/>
        </w:rPr>
        <w:t>v</w:t>
      </w:r>
      <w:r w:rsidR="00476B28" w:rsidRPr="00906F5F">
        <w:rPr>
          <w:sz w:val="24"/>
          <w:szCs w:val="24"/>
        </w:rPr>
        <w:t>e Öğretim Yönetmeliği’ne dayanarak hazırlanmıştır.</w:t>
      </w:r>
    </w:p>
    <w:p w:rsidR="007C5610" w:rsidRPr="00906F5F" w:rsidRDefault="007C5610" w:rsidP="007C5610">
      <w:pPr>
        <w:spacing w:before="100" w:beforeAutospacing="1" w:after="100" w:afterAutospacing="1"/>
        <w:ind w:firstLine="567"/>
        <w:contextualSpacing/>
        <w:jc w:val="both"/>
        <w:rPr>
          <w:sz w:val="24"/>
          <w:szCs w:val="24"/>
        </w:rPr>
      </w:pPr>
    </w:p>
    <w:p w:rsidR="00C71882" w:rsidRPr="00906F5F" w:rsidRDefault="00C71882" w:rsidP="007C5610">
      <w:pPr>
        <w:spacing w:before="100" w:beforeAutospacing="1" w:after="100" w:afterAutospacing="1"/>
        <w:ind w:firstLine="567"/>
        <w:contextualSpacing/>
        <w:jc w:val="both"/>
        <w:rPr>
          <w:sz w:val="24"/>
          <w:szCs w:val="24"/>
        </w:rPr>
      </w:pPr>
      <w:r w:rsidRPr="00906F5F">
        <w:rPr>
          <w:b/>
          <w:bCs/>
          <w:sz w:val="24"/>
          <w:szCs w:val="24"/>
        </w:rPr>
        <w:t>Tanımlar</w:t>
      </w:r>
    </w:p>
    <w:p w:rsidR="00C71882" w:rsidRPr="00906F5F" w:rsidRDefault="00C71882" w:rsidP="007C5610">
      <w:pPr>
        <w:spacing w:before="100" w:beforeAutospacing="1" w:after="100" w:afterAutospacing="1"/>
        <w:ind w:firstLine="567"/>
        <w:contextualSpacing/>
        <w:jc w:val="both"/>
        <w:rPr>
          <w:sz w:val="24"/>
          <w:szCs w:val="24"/>
        </w:rPr>
      </w:pPr>
      <w:r w:rsidRPr="00906F5F">
        <w:rPr>
          <w:b/>
          <w:bCs/>
          <w:sz w:val="24"/>
          <w:szCs w:val="24"/>
        </w:rPr>
        <w:t>MADDE 3 –</w:t>
      </w:r>
      <w:r w:rsidRPr="00906F5F">
        <w:rPr>
          <w:sz w:val="24"/>
          <w:szCs w:val="24"/>
        </w:rPr>
        <w:t xml:space="preserve"> (1) Bu Yönergede geçen:</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t xml:space="preserve">a)  Akademik Modül: Fakültelere hazırlık amacıyla yapılan çalışmaların olduğu C1 üstü düzeyi, </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t xml:space="preserve">b) A1, A2, B1, B2, C1, C2: Türkiye Yükseköğretim Yeterlilikler Çerçevesinde ifade edilen dil </w:t>
      </w:r>
      <w:r w:rsidR="00D95E29">
        <w:rPr>
          <w:sz w:val="24"/>
          <w:szCs w:val="24"/>
        </w:rPr>
        <w:t>düzeylerini</w:t>
      </w:r>
      <w:r w:rsidRPr="00906F5F">
        <w:rPr>
          <w:sz w:val="24"/>
          <w:szCs w:val="24"/>
        </w:rPr>
        <w:t>,</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t xml:space="preserve">c) Ara sınavlar: Yabancı dil hazırlık programı süresince uygulanan programların kapsam ve amaçları göz önüne alınarak, her </w:t>
      </w:r>
      <w:proofErr w:type="gramStart"/>
      <w:r w:rsidRPr="00906F5F">
        <w:rPr>
          <w:sz w:val="24"/>
          <w:szCs w:val="24"/>
        </w:rPr>
        <w:t>modül</w:t>
      </w:r>
      <w:proofErr w:type="gramEnd"/>
      <w:r w:rsidRPr="00906F5F">
        <w:rPr>
          <w:sz w:val="24"/>
          <w:szCs w:val="24"/>
        </w:rPr>
        <w:t xml:space="preserve"> içinde Yüksekokul Müdürlüğünce belirlenen sayıda yapılan sınavları,</w:t>
      </w:r>
    </w:p>
    <w:p w:rsidR="00C71882" w:rsidRPr="00906F5F" w:rsidRDefault="00C71882" w:rsidP="007C5610">
      <w:pPr>
        <w:spacing w:before="120"/>
        <w:ind w:left="284" w:firstLine="283"/>
        <w:contextualSpacing/>
        <w:rPr>
          <w:sz w:val="24"/>
          <w:szCs w:val="24"/>
        </w:rPr>
      </w:pPr>
      <w:r w:rsidRPr="00906F5F">
        <w:rPr>
          <w:sz w:val="24"/>
          <w:szCs w:val="24"/>
        </w:rPr>
        <w:t xml:space="preserve">ç) Ara tatil: İlk iki </w:t>
      </w:r>
      <w:proofErr w:type="gramStart"/>
      <w:r w:rsidRPr="00906F5F">
        <w:rPr>
          <w:sz w:val="24"/>
          <w:szCs w:val="24"/>
        </w:rPr>
        <w:t>modülden</w:t>
      </w:r>
      <w:proofErr w:type="gramEnd"/>
      <w:r w:rsidRPr="00906F5F">
        <w:rPr>
          <w:sz w:val="24"/>
          <w:szCs w:val="24"/>
        </w:rPr>
        <w:t xml:space="preserve"> sonra verilen 4 haftalık tatili,</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t xml:space="preserve">d) Birim: Pamukkale Üniversitesine bağlı fakülte/yüksekokul/meslek yüksekokulunu, </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t>e)</w:t>
      </w:r>
      <w:r w:rsidRPr="00906F5F">
        <w:rPr>
          <w:color w:val="FF0000"/>
          <w:sz w:val="24"/>
          <w:szCs w:val="24"/>
        </w:rPr>
        <w:t xml:space="preserve"> </w:t>
      </w:r>
      <w:r w:rsidRPr="00906F5F">
        <w:rPr>
          <w:sz w:val="24"/>
          <w:szCs w:val="24"/>
        </w:rPr>
        <w:t xml:space="preserve">Bütünleme sınavı: B2 düzey </w:t>
      </w:r>
      <w:proofErr w:type="gramStart"/>
      <w:r w:rsidRPr="00906F5F">
        <w:rPr>
          <w:sz w:val="24"/>
          <w:szCs w:val="24"/>
        </w:rPr>
        <w:t>modül</w:t>
      </w:r>
      <w:proofErr w:type="gramEnd"/>
      <w:r w:rsidRPr="00906F5F">
        <w:rPr>
          <w:sz w:val="24"/>
          <w:szCs w:val="24"/>
        </w:rPr>
        <w:t xml:space="preserve"> bitirme sınavına girme hakkı kazanmış ancak başarısız olmuş öğrencilerin girebileceği bahar yarıyılı sonunda bir kez yapılan sınavı,</w:t>
      </w:r>
    </w:p>
    <w:p w:rsidR="00C71882" w:rsidRPr="00906F5F" w:rsidRDefault="00C71882" w:rsidP="007C5610">
      <w:pPr>
        <w:spacing w:before="120"/>
        <w:ind w:left="284" w:firstLine="283"/>
        <w:contextualSpacing/>
        <w:rPr>
          <w:sz w:val="24"/>
          <w:szCs w:val="24"/>
        </w:rPr>
      </w:pPr>
      <w:r w:rsidRPr="00906F5F">
        <w:rPr>
          <w:sz w:val="24"/>
          <w:szCs w:val="24"/>
        </w:rPr>
        <w:t xml:space="preserve">f) </w:t>
      </w:r>
      <w:r w:rsidRPr="00906F5F">
        <w:rPr>
          <w:color w:val="FF0000"/>
          <w:sz w:val="24"/>
          <w:szCs w:val="24"/>
        </w:rPr>
        <w:t xml:space="preserve"> </w:t>
      </w:r>
      <w:r w:rsidRPr="00906F5F">
        <w:rPr>
          <w:sz w:val="24"/>
          <w:szCs w:val="24"/>
        </w:rPr>
        <w:t>Modül: Her yarıyıl için iki kez yapılan, sekiz haftalık süreyi</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t xml:space="preserve">g) Modül arası: Her sekiz haftalık modülden sonra verilen 1 haftalık yeni </w:t>
      </w:r>
      <w:proofErr w:type="gramStart"/>
      <w:r w:rsidRPr="00906F5F">
        <w:rPr>
          <w:sz w:val="24"/>
          <w:szCs w:val="24"/>
        </w:rPr>
        <w:t>modül</w:t>
      </w:r>
      <w:proofErr w:type="gramEnd"/>
      <w:r w:rsidRPr="00906F5F">
        <w:rPr>
          <w:sz w:val="24"/>
          <w:szCs w:val="24"/>
        </w:rPr>
        <w:t xml:space="preserve"> düzenleme arasını,</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t>ğ) Modül Atlama Sınavı (</w:t>
      </w:r>
      <w:proofErr w:type="spellStart"/>
      <w:r w:rsidRPr="00906F5F">
        <w:rPr>
          <w:sz w:val="24"/>
          <w:szCs w:val="24"/>
        </w:rPr>
        <w:t>Passway</w:t>
      </w:r>
      <w:proofErr w:type="spellEnd"/>
      <w:r w:rsidRPr="00906F5F">
        <w:rPr>
          <w:sz w:val="24"/>
          <w:szCs w:val="24"/>
        </w:rPr>
        <w:t xml:space="preserve">) : 1. Modül sonunda öğrencinin 100/80 ve üzeri not ortalamasına sahip olması durumunda </w:t>
      </w:r>
      <w:r w:rsidR="00D66D01">
        <w:rPr>
          <w:sz w:val="24"/>
          <w:szCs w:val="24"/>
        </w:rPr>
        <w:t>düzey</w:t>
      </w:r>
      <w:r w:rsidRPr="00906F5F">
        <w:rPr>
          <w:sz w:val="24"/>
          <w:szCs w:val="24"/>
        </w:rPr>
        <w:t xml:space="preserve"> atlamak için isteğe bağlı olarak girilen sınavı,</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t xml:space="preserve">h) Modül Bitirme sınavı: Her modülün sonunda yapılan, ortalamanın % 50’sini oluşturan öğrencinin o düzey için müfredatta belirtilmiş olan bilgi ve becerileri ne oranda öğrendiklerini ve bir sonraki düzeye geçebilmek veya yabancı dil hazırlık eğitimini tamamlayabilmek amacıyla İngilizce </w:t>
      </w:r>
      <w:proofErr w:type="gramStart"/>
      <w:r w:rsidRPr="00906F5F">
        <w:rPr>
          <w:sz w:val="24"/>
          <w:szCs w:val="24"/>
        </w:rPr>
        <w:t>için  B2</w:t>
      </w:r>
      <w:proofErr w:type="gramEnd"/>
      <w:r w:rsidRPr="00906F5F">
        <w:rPr>
          <w:sz w:val="24"/>
          <w:szCs w:val="24"/>
        </w:rPr>
        <w:t xml:space="preserve">, Fransızca için  B1 yeterlik </w:t>
      </w:r>
      <w:r w:rsidR="00D66D01">
        <w:rPr>
          <w:sz w:val="24"/>
          <w:szCs w:val="24"/>
        </w:rPr>
        <w:t>düzey</w:t>
      </w:r>
      <w:r w:rsidRPr="00906F5F">
        <w:rPr>
          <w:sz w:val="24"/>
          <w:szCs w:val="24"/>
        </w:rPr>
        <w:t>inde gereken bilgi ve becerilere sahip olup olmadığını ölçmeyi hedefleyen sınavları.</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t xml:space="preserve">ı) Modül </w:t>
      </w:r>
      <w:r w:rsidR="00D66D01">
        <w:rPr>
          <w:sz w:val="24"/>
          <w:szCs w:val="24"/>
        </w:rPr>
        <w:t>Düzey</w:t>
      </w:r>
      <w:r w:rsidRPr="00906F5F">
        <w:rPr>
          <w:sz w:val="24"/>
          <w:szCs w:val="24"/>
        </w:rPr>
        <w:t xml:space="preserve"> Tespit Sınavı: Yabancı dil hazırlık programına kabul edilecek öğrencilerin yabancı dil </w:t>
      </w:r>
      <w:r w:rsidR="00D66D01">
        <w:rPr>
          <w:sz w:val="24"/>
          <w:szCs w:val="24"/>
        </w:rPr>
        <w:t>düzeylerini</w:t>
      </w:r>
      <w:r w:rsidRPr="00906F5F">
        <w:rPr>
          <w:sz w:val="24"/>
          <w:szCs w:val="24"/>
        </w:rPr>
        <w:t xml:space="preserve"> ve sınıflarını belirlemeye yönelik sınavı,</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t xml:space="preserve">i) Modül Telafi </w:t>
      </w:r>
      <w:proofErr w:type="gramStart"/>
      <w:r w:rsidRPr="00906F5F">
        <w:rPr>
          <w:sz w:val="24"/>
          <w:szCs w:val="24"/>
        </w:rPr>
        <w:t>Sınavı : Güz</w:t>
      </w:r>
      <w:proofErr w:type="gramEnd"/>
      <w:r w:rsidRPr="00906F5F">
        <w:rPr>
          <w:sz w:val="24"/>
          <w:szCs w:val="24"/>
        </w:rPr>
        <w:t xml:space="preserve"> yarıyılında ilk iki modülden en az bir kez başarısız olan öğrencilerin bulunduğu </w:t>
      </w:r>
      <w:r w:rsidR="00D66D01">
        <w:rPr>
          <w:sz w:val="24"/>
          <w:szCs w:val="24"/>
        </w:rPr>
        <w:t>düzeyinin</w:t>
      </w:r>
      <w:r w:rsidRPr="00906F5F">
        <w:rPr>
          <w:sz w:val="24"/>
          <w:szCs w:val="24"/>
        </w:rPr>
        <w:t xml:space="preserve"> bir üst </w:t>
      </w:r>
      <w:r w:rsidR="00D66D01">
        <w:rPr>
          <w:sz w:val="24"/>
          <w:szCs w:val="24"/>
        </w:rPr>
        <w:t>düzeyine</w:t>
      </w:r>
      <w:r w:rsidRPr="00906F5F">
        <w:rPr>
          <w:sz w:val="24"/>
          <w:szCs w:val="24"/>
        </w:rPr>
        <w:t xml:space="preserve"> geçme hakkı alabilmek için güz yarıyılı sonunda girdiği sınavı,</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t>j) Müdür: Pamukkale Üniversitesi Yabancı Diller Yüksekokulu Müdürünü,</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t>k) Ölçme-Değerlendirme Birimi: Yabancı Diller Yüksekokulu Ölçme-Değerlendirme Birimini,</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t>l) Rektör: Pamukkale Üniversitesi Rektörünü,</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t>m) Senato: Pamukkale Üniversitesi Senatosunu,</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t>n) Üniversite: Pamukkale Üniversitesini,</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lastRenderedPageBreak/>
        <w:t>o) Yabancı dil hazırlık programı: Yüksekokul tarafından yürütülen yabancı dil hazırlık eğitim-öğretimini,</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t xml:space="preserve">ö) Yeterlik Sınavı: Zorunlu veya isteğe bağlı hazırlık programına </w:t>
      </w:r>
      <w:proofErr w:type="gramStart"/>
      <w:r w:rsidRPr="00906F5F">
        <w:rPr>
          <w:sz w:val="24"/>
          <w:szCs w:val="24"/>
        </w:rPr>
        <w:t>dahil</w:t>
      </w:r>
      <w:proofErr w:type="gramEnd"/>
      <w:r w:rsidRPr="00906F5F">
        <w:rPr>
          <w:sz w:val="24"/>
          <w:szCs w:val="24"/>
        </w:rPr>
        <w:t xml:space="preserve"> olan  öğrencilerin yabancı dil hazırlık programından muaf olmaları ve/veya hazırlık programını başarıyla tamamlamış olmaları için girmek zorunda oldukları sınavı,</w:t>
      </w:r>
    </w:p>
    <w:p w:rsidR="00C71882" w:rsidRPr="00906F5F" w:rsidRDefault="00C71882" w:rsidP="007C5610">
      <w:pPr>
        <w:spacing w:before="120"/>
        <w:ind w:left="284" w:firstLine="283"/>
        <w:contextualSpacing/>
        <w:jc w:val="both"/>
        <w:rPr>
          <w:sz w:val="24"/>
          <w:szCs w:val="24"/>
        </w:rPr>
      </w:pPr>
      <w:r w:rsidRPr="00906F5F">
        <w:rPr>
          <w:sz w:val="24"/>
          <w:szCs w:val="24"/>
        </w:rPr>
        <w:t>p) Yüksekokul Kurulu: Yabancı Diller Yüksekokulu Kurulunu,</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t>r) Yüksekokul Müdürlüğü: Pamukkale Üniversitesi Yabancı Diller Yüksekokulu Müdürlüğünü,</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t>s) Yüksekokul Yönetim Kurulu:  Yabancı Diller Yüksekokulu Yönetim Kurulunu,</w:t>
      </w:r>
    </w:p>
    <w:p w:rsidR="00C71882" w:rsidRPr="00906F5F" w:rsidRDefault="00C71882" w:rsidP="007C5610">
      <w:pPr>
        <w:spacing w:before="100" w:beforeAutospacing="1" w:after="100" w:afterAutospacing="1"/>
        <w:ind w:firstLine="567"/>
        <w:contextualSpacing/>
        <w:jc w:val="both"/>
        <w:rPr>
          <w:sz w:val="24"/>
          <w:szCs w:val="24"/>
        </w:rPr>
      </w:pPr>
      <w:proofErr w:type="gramStart"/>
      <w:r w:rsidRPr="00906F5F">
        <w:rPr>
          <w:sz w:val="24"/>
          <w:szCs w:val="24"/>
        </w:rPr>
        <w:t>ifade</w:t>
      </w:r>
      <w:proofErr w:type="gramEnd"/>
      <w:r w:rsidRPr="00906F5F">
        <w:rPr>
          <w:sz w:val="24"/>
          <w:szCs w:val="24"/>
        </w:rPr>
        <w:t xml:space="preserve"> eder.</w:t>
      </w:r>
    </w:p>
    <w:p w:rsidR="00C71882" w:rsidRDefault="00C71882" w:rsidP="007C5610">
      <w:pPr>
        <w:spacing w:before="100" w:beforeAutospacing="1" w:after="100" w:afterAutospacing="1"/>
        <w:contextualSpacing/>
        <w:jc w:val="both"/>
        <w:rPr>
          <w:sz w:val="24"/>
          <w:szCs w:val="24"/>
        </w:rPr>
      </w:pPr>
    </w:p>
    <w:p w:rsidR="00C71882" w:rsidRPr="00906F5F" w:rsidRDefault="00C71882" w:rsidP="007C5610">
      <w:pPr>
        <w:spacing w:before="100" w:beforeAutospacing="1" w:after="100" w:afterAutospacing="1"/>
        <w:ind w:firstLine="567"/>
        <w:contextualSpacing/>
        <w:jc w:val="center"/>
        <w:rPr>
          <w:sz w:val="24"/>
          <w:szCs w:val="24"/>
        </w:rPr>
      </w:pPr>
      <w:r w:rsidRPr="00906F5F">
        <w:rPr>
          <w:b/>
          <w:bCs/>
          <w:sz w:val="24"/>
          <w:szCs w:val="24"/>
        </w:rPr>
        <w:t>İKİNCİ BÖLÜM</w:t>
      </w:r>
    </w:p>
    <w:p w:rsidR="00C71882" w:rsidRPr="00906F5F" w:rsidRDefault="00C71882" w:rsidP="007C5610">
      <w:pPr>
        <w:spacing w:before="100" w:beforeAutospacing="1" w:after="100" w:afterAutospacing="1"/>
        <w:ind w:firstLine="567"/>
        <w:contextualSpacing/>
        <w:jc w:val="center"/>
        <w:rPr>
          <w:sz w:val="24"/>
          <w:szCs w:val="24"/>
        </w:rPr>
      </w:pPr>
      <w:r w:rsidRPr="00906F5F">
        <w:rPr>
          <w:b/>
          <w:bCs/>
          <w:sz w:val="24"/>
          <w:szCs w:val="24"/>
        </w:rPr>
        <w:t>Yabancı Dil Hazırlık Eğitim-Öğretimi ve Sınavlara İlişkin Esaslar</w:t>
      </w:r>
    </w:p>
    <w:p w:rsidR="00C71882" w:rsidRPr="00906F5F" w:rsidRDefault="00C71882" w:rsidP="007C5610">
      <w:pPr>
        <w:spacing w:before="100" w:beforeAutospacing="1" w:after="100" w:afterAutospacing="1"/>
        <w:ind w:firstLine="567"/>
        <w:contextualSpacing/>
        <w:jc w:val="both"/>
        <w:rPr>
          <w:sz w:val="24"/>
          <w:szCs w:val="24"/>
        </w:rPr>
      </w:pPr>
      <w:r w:rsidRPr="00906F5F">
        <w:rPr>
          <w:b/>
          <w:bCs/>
          <w:sz w:val="24"/>
          <w:szCs w:val="24"/>
        </w:rPr>
        <w:t> </w:t>
      </w:r>
    </w:p>
    <w:p w:rsidR="00C71882" w:rsidRPr="00906F5F" w:rsidRDefault="00C71882" w:rsidP="007C5610">
      <w:pPr>
        <w:spacing w:before="100" w:beforeAutospacing="1" w:after="100" w:afterAutospacing="1"/>
        <w:ind w:firstLine="567"/>
        <w:contextualSpacing/>
        <w:jc w:val="both"/>
        <w:rPr>
          <w:sz w:val="24"/>
          <w:szCs w:val="24"/>
        </w:rPr>
      </w:pPr>
      <w:r w:rsidRPr="00906F5F">
        <w:rPr>
          <w:b/>
          <w:bCs/>
          <w:sz w:val="24"/>
          <w:szCs w:val="24"/>
        </w:rPr>
        <w:t>Yabancı dil hazırlık eğitim-öğretimi</w:t>
      </w:r>
    </w:p>
    <w:p w:rsidR="00C71882" w:rsidRDefault="00C71882" w:rsidP="007C5610">
      <w:pPr>
        <w:spacing w:before="100" w:beforeAutospacing="1" w:after="100" w:afterAutospacing="1"/>
        <w:ind w:firstLine="567"/>
        <w:contextualSpacing/>
        <w:jc w:val="both"/>
        <w:rPr>
          <w:sz w:val="24"/>
          <w:szCs w:val="24"/>
        </w:rPr>
      </w:pPr>
      <w:r w:rsidRPr="00906F5F">
        <w:rPr>
          <w:b/>
          <w:bCs/>
          <w:sz w:val="24"/>
          <w:szCs w:val="24"/>
        </w:rPr>
        <w:t>MADDE 4 –</w:t>
      </w:r>
      <w:r w:rsidRPr="00906F5F">
        <w:rPr>
          <w:sz w:val="24"/>
          <w:szCs w:val="24"/>
        </w:rPr>
        <w:t xml:space="preserve"> (1) Yabancı dil hazırlık programlarında</w:t>
      </w:r>
      <w:r w:rsidR="003B5A22" w:rsidRPr="00906F5F">
        <w:rPr>
          <w:sz w:val="24"/>
          <w:szCs w:val="24"/>
        </w:rPr>
        <w:t xml:space="preserve"> B2 düzeyini başarıyla</w:t>
      </w:r>
      <w:r w:rsidRPr="00906F5F">
        <w:rPr>
          <w:sz w:val="24"/>
          <w:szCs w:val="24"/>
        </w:rPr>
        <w:t xml:space="preserve"> tamamlayan öğrencilere isteğe bağlı olarak C1 ve Akademik Modül </w:t>
      </w:r>
      <w:r w:rsidR="006F4D8A" w:rsidRPr="00906F5F">
        <w:rPr>
          <w:sz w:val="24"/>
          <w:szCs w:val="24"/>
        </w:rPr>
        <w:t>d</w:t>
      </w:r>
      <w:r w:rsidRPr="00906F5F">
        <w:rPr>
          <w:sz w:val="24"/>
          <w:szCs w:val="24"/>
        </w:rPr>
        <w:t>üzeyi</w:t>
      </w:r>
      <w:r w:rsidR="003B5A22" w:rsidRPr="00906F5F">
        <w:rPr>
          <w:sz w:val="24"/>
          <w:szCs w:val="24"/>
        </w:rPr>
        <w:t>nde</w:t>
      </w:r>
      <w:r w:rsidRPr="00906F5F">
        <w:rPr>
          <w:sz w:val="24"/>
          <w:szCs w:val="24"/>
        </w:rPr>
        <w:t xml:space="preserve"> </w:t>
      </w:r>
      <w:proofErr w:type="spellStart"/>
      <w:r w:rsidR="00D66D01">
        <w:rPr>
          <w:sz w:val="24"/>
          <w:szCs w:val="24"/>
        </w:rPr>
        <w:t>düzeyinde</w:t>
      </w:r>
      <w:proofErr w:type="spellEnd"/>
      <w:r w:rsidRPr="00906F5F">
        <w:rPr>
          <w:sz w:val="24"/>
          <w:szCs w:val="24"/>
        </w:rPr>
        <w:t xml:space="preserve"> yabancı dil eğitimi verilir. C1 ve Akademik Modül düzeylerinin açılma koşullarını Yabancı Diller Yüksekokul Kurulu belirler.</w:t>
      </w:r>
    </w:p>
    <w:p w:rsidR="007C5610" w:rsidRPr="00906F5F" w:rsidRDefault="007C5610" w:rsidP="007C5610">
      <w:pPr>
        <w:spacing w:before="100" w:beforeAutospacing="1" w:after="100" w:afterAutospacing="1"/>
        <w:ind w:firstLine="567"/>
        <w:contextualSpacing/>
        <w:jc w:val="both"/>
        <w:rPr>
          <w:sz w:val="24"/>
          <w:szCs w:val="24"/>
        </w:rPr>
      </w:pPr>
    </w:p>
    <w:p w:rsidR="00C71882" w:rsidRPr="00906F5F" w:rsidRDefault="00C71882" w:rsidP="007C5610">
      <w:pPr>
        <w:spacing w:before="100" w:beforeAutospacing="1" w:after="100" w:afterAutospacing="1"/>
        <w:ind w:firstLine="567"/>
        <w:contextualSpacing/>
        <w:jc w:val="both"/>
        <w:rPr>
          <w:sz w:val="24"/>
          <w:szCs w:val="24"/>
        </w:rPr>
      </w:pPr>
      <w:r w:rsidRPr="00906F5F">
        <w:rPr>
          <w:b/>
          <w:bCs/>
          <w:sz w:val="24"/>
          <w:szCs w:val="24"/>
        </w:rPr>
        <w:t>Eğitim-öğretim süresi</w:t>
      </w:r>
    </w:p>
    <w:p w:rsidR="00C71882" w:rsidRDefault="00C71882" w:rsidP="007C5610">
      <w:pPr>
        <w:spacing w:before="100" w:beforeAutospacing="1" w:after="100" w:afterAutospacing="1"/>
        <w:ind w:firstLine="567"/>
        <w:contextualSpacing/>
        <w:jc w:val="both"/>
        <w:rPr>
          <w:sz w:val="24"/>
          <w:szCs w:val="24"/>
        </w:rPr>
      </w:pPr>
      <w:r w:rsidRPr="00906F5F">
        <w:rPr>
          <w:b/>
          <w:bCs/>
          <w:sz w:val="24"/>
          <w:szCs w:val="24"/>
        </w:rPr>
        <w:t xml:space="preserve">MADDE 5 – </w:t>
      </w:r>
      <w:r w:rsidRPr="00906F5F">
        <w:rPr>
          <w:sz w:val="24"/>
          <w:szCs w:val="24"/>
        </w:rPr>
        <w:t xml:space="preserve">(1) Yabancı dil hazırlık programlarında eğitim-öğretim süresi her bir yabancı dil hazırlık programı için dört modülü kapsayan </w:t>
      </w:r>
      <w:r w:rsidR="00CA1685" w:rsidRPr="00906F5F">
        <w:rPr>
          <w:sz w:val="24"/>
          <w:szCs w:val="24"/>
        </w:rPr>
        <w:t xml:space="preserve">2 yarıyıl (1yıl) </w:t>
      </w:r>
      <w:proofErr w:type="spellStart"/>
      <w:proofErr w:type="gramStart"/>
      <w:r w:rsidRPr="00906F5F">
        <w:rPr>
          <w:sz w:val="24"/>
          <w:szCs w:val="24"/>
        </w:rPr>
        <w:t>dır</w:t>
      </w:r>
      <w:proofErr w:type="spellEnd"/>
      <w:proofErr w:type="gramEnd"/>
      <w:r w:rsidRPr="00906F5F">
        <w:rPr>
          <w:sz w:val="24"/>
          <w:szCs w:val="24"/>
        </w:rPr>
        <w:t>. Bu süre bir akademik yılda 32 haftadır. Yabancı dil hazırlık programlarında azami süre dört yarıyıl (2 yıl)</w:t>
      </w:r>
      <w:proofErr w:type="spellStart"/>
      <w:proofErr w:type="gramStart"/>
      <w:r w:rsidR="003B5A22" w:rsidRPr="00906F5F">
        <w:rPr>
          <w:sz w:val="24"/>
          <w:szCs w:val="24"/>
        </w:rPr>
        <w:t>dır</w:t>
      </w:r>
      <w:proofErr w:type="spellEnd"/>
      <w:proofErr w:type="gramEnd"/>
      <w:r w:rsidR="003B5A22" w:rsidRPr="00906F5F">
        <w:rPr>
          <w:sz w:val="24"/>
          <w:szCs w:val="24"/>
        </w:rPr>
        <w:t>.</w:t>
      </w:r>
    </w:p>
    <w:p w:rsidR="007C5610" w:rsidRPr="00906F5F" w:rsidRDefault="007C5610" w:rsidP="007C5610">
      <w:pPr>
        <w:spacing w:before="100" w:beforeAutospacing="1" w:after="100" w:afterAutospacing="1"/>
        <w:ind w:firstLine="567"/>
        <w:contextualSpacing/>
        <w:jc w:val="both"/>
        <w:rPr>
          <w:sz w:val="24"/>
          <w:szCs w:val="24"/>
        </w:rPr>
      </w:pPr>
    </w:p>
    <w:p w:rsidR="00C71882" w:rsidRPr="00906F5F" w:rsidRDefault="00C71882" w:rsidP="007C5610">
      <w:pPr>
        <w:spacing w:before="100" w:beforeAutospacing="1" w:after="100" w:afterAutospacing="1"/>
        <w:ind w:firstLine="567"/>
        <w:contextualSpacing/>
        <w:jc w:val="both"/>
        <w:rPr>
          <w:sz w:val="24"/>
          <w:szCs w:val="24"/>
        </w:rPr>
      </w:pPr>
      <w:r w:rsidRPr="00906F5F">
        <w:rPr>
          <w:b/>
          <w:bCs/>
          <w:sz w:val="24"/>
          <w:szCs w:val="24"/>
        </w:rPr>
        <w:t xml:space="preserve">Hazırlık programına başvuru ve kabul </w:t>
      </w:r>
    </w:p>
    <w:p w:rsidR="00C71882" w:rsidRPr="00906F5F" w:rsidRDefault="00C71882" w:rsidP="007C5610">
      <w:pPr>
        <w:spacing w:before="100" w:beforeAutospacing="1" w:after="100" w:afterAutospacing="1"/>
        <w:ind w:firstLine="567"/>
        <w:contextualSpacing/>
        <w:jc w:val="both"/>
        <w:rPr>
          <w:sz w:val="24"/>
          <w:szCs w:val="24"/>
        </w:rPr>
      </w:pPr>
      <w:r w:rsidRPr="00906F5F">
        <w:rPr>
          <w:b/>
          <w:bCs/>
          <w:sz w:val="24"/>
          <w:szCs w:val="24"/>
        </w:rPr>
        <w:t xml:space="preserve">MADDE 6 – </w:t>
      </w:r>
      <w:r w:rsidRPr="00906F5F">
        <w:rPr>
          <w:sz w:val="24"/>
          <w:szCs w:val="24"/>
        </w:rPr>
        <w:t xml:space="preserve">(1) Yabancı dil hazırlık sınıfları için başvuru takvimi ve koşulları eğitim-öğretim yılı başında duyurulur. Başvurular, Üniversiteye kesin kayıt işlemleri bittikten sonra Yüksekokul Müdürlüğüne yapılır. Başvuran öğrenciler, Yüksekokul Müdürlüğünden modül </w:t>
      </w:r>
      <w:proofErr w:type="gramStart"/>
      <w:r w:rsidR="00D66D01">
        <w:rPr>
          <w:sz w:val="24"/>
          <w:szCs w:val="24"/>
        </w:rPr>
        <w:t>düzey</w:t>
      </w:r>
      <w:r w:rsidRPr="00906F5F">
        <w:rPr>
          <w:sz w:val="24"/>
          <w:szCs w:val="24"/>
        </w:rPr>
        <w:t xml:space="preserve">  tespit</w:t>
      </w:r>
      <w:proofErr w:type="gramEnd"/>
      <w:r w:rsidRPr="00906F5F">
        <w:rPr>
          <w:sz w:val="24"/>
          <w:szCs w:val="24"/>
        </w:rPr>
        <w:t xml:space="preserve"> ve yeterlik sınavına giriş belgesi alır. </w:t>
      </w:r>
    </w:p>
    <w:p w:rsidR="00C71882" w:rsidRPr="0066668B" w:rsidRDefault="00C71882" w:rsidP="007C5610">
      <w:pPr>
        <w:spacing w:before="100" w:beforeAutospacing="1" w:after="100" w:afterAutospacing="1"/>
        <w:ind w:firstLine="567"/>
        <w:contextualSpacing/>
        <w:jc w:val="both"/>
        <w:rPr>
          <w:sz w:val="24"/>
          <w:szCs w:val="24"/>
        </w:rPr>
      </w:pPr>
      <w:r w:rsidRPr="00906F5F">
        <w:rPr>
          <w:sz w:val="24"/>
          <w:szCs w:val="24"/>
        </w:rPr>
        <w:t xml:space="preserve">(2) İsteğe bağlı hazırlık programlarında öğrenci kabulü, öğrencilerin hazırlık eğitimi alma talepleri doğrultusunda </w:t>
      </w:r>
      <w:r w:rsidR="003B5A22" w:rsidRPr="00906F5F">
        <w:rPr>
          <w:sz w:val="24"/>
          <w:szCs w:val="24"/>
        </w:rPr>
        <w:t>program</w:t>
      </w:r>
      <w:r w:rsidR="0066668B">
        <w:rPr>
          <w:sz w:val="24"/>
          <w:szCs w:val="24"/>
        </w:rPr>
        <w:t xml:space="preserve"> </w:t>
      </w:r>
      <w:r w:rsidRPr="00906F5F">
        <w:rPr>
          <w:sz w:val="24"/>
          <w:szCs w:val="24"/>
        </w:rPr>
        <w:t>ÖSYM kontenjanının en fazla %10’u olacak şekilde ve ÖSYM yerleştirme puanları esas alınarak yapılan sıralamaya göre</w:t>
      </w:r>
      <w:r w:rsidR="0066668B">
        <w:rPr>
          <w:sz w:val="24"/>
          <w:szCs w:val="24"/>
        </w:rPr>
        <w:t xml:space="preserve"> yapılır. </w:t>
      </w:r>
      <w:r w:rsidRPr="00906F5F">
        <w:rPr>
          <w:sz w:val="24"/>
          <w:szCs w:val="24"/>
        </w:rPr>
        <w:t xml:space="preserve">İsteğe bağlı hazırlık programlarında her akademik </w:t>
      </w:r>
      <w:proofErr w:type="gramStart"/>
      <w:r w:rsidRPr="00906F5F">
        <w:rPr>
          <w:sz w:val="24"/>
          <w:szCs w:val="24"/>
        </w:rPr>
        <w:t>yıl</w:t>
      </w:r>
      <w:r w:rsidR="0066668B">
        <w:rPr>
          <w:sz w:val="24"/>
          <w:szCs w:val="24"/>
        </w:rPr>
        <w:t xml:space="preserve"> </w:t>
      </w:r>
      <w:r w:rsidRPr="00906F5F">
        <w:rPr>
          <w:sz w:val="24"/>
          <w:szCs w:val="24"/>
        </w:rPr>
        <w:t>başında</w:t>
      </w:r>
      <w:proofErr w:type="gramEnd"/>
      <w:r w:rsidRPr="00906F5F">
        <w:rPr>
          <w:sz w:val="24"/>
          <w:szCs w:val="24"/>
        </w:rPr>
        <w:t xml:space="preserve"> kontenjan belirlenir ve ilan edilir. Yedek öğrenci kabul edilmez.</w:t>
      </w:r>
      <w:r w:rsidR="0066668B">
        <w:rPr>
          <w:sz w:val="24"/>
          <w:szCs w:val="24"/>
        </w:rPr>
        <w:t xml:space="preserve"> </w:t>
      </w:r>
      <w:r w:rsidR="0066668B" w:rsidRPr="0066668B">
        <w:rPr>
          <w:sz w:val="24"/>
          <w:szCs w:val="24"/>
        </w:rPr>
        <w:t>(</w:t>
      </w:r>
      <w:r w:rsidR="0066668B">
        <w:rPr>
          <w:sz w:val="24"/>
          <w:szCs w:val="24"/>
        </w:rPr>
        <w:t>P</w:t>
      </w:r>
      <w:r w:rsidR="0066668B" w:rsidRPr="0066668B">
        <w:rPr>
          <w:sz w:val="24"/>
          <w:szCs w:val="24"/>
        </w:rPr>
        <w:t>rogramda boş kalan konte</w:t>
      </w:r>
      <w:r w:rsidR="0066668B">
        <w:rPr>
          <w:sz w:val="24"/>
          <w:szCs w:val="24"/>
        </w:rPr>
        <w:t>n</w:t>
      </w:r>
      <w:r w:rsidR="0066668B" w:rsidRPr="0066668B">
        <w:rPr>
          <w:sz w:val="24"/>
          <w:szCs w:val="24"/>
        </w:rPr>
        <w:t>janlar aynı Fakültenin diğer programları tarafından tamamlanabilir</w:t>
      </w:r>
      <w:r w:rsidR="0066668B">
        <w:rPr>
          <w:sz w:val="24"/>
          <w:szCs w:val="24"/>
        </w:rPr>
        <w:t>.</w:t>
      </w:r>
      <w:r w:rsidR="0066668B" w:rsidRPr="0066668B">
        <w:rPr>
          <w:sz w:val="24"/>
          <w:szCs w:val="24"/>
        </w:rPr>
        <w:t>)</w:t>
      </w:r>
    </w:p>
    <w:p w:rsidR="00C71882" w:rsidRPr="00906F5F" w:rsidRDefault="00C71882" w:rsidP="007C5610">
      <w:pPr>
        <w:spacing w:before="100" w:beforeAutospacing="1" w:after="100" w:afterAutospacing="1"/>
        <w:ind w:firstLine="567"/>
        <w:contextualSpacing/>
        <w:jc w:val="both"/>
        <w:rPr>
          <w:sz w:val="24"/>
          <w:szCs w:val="24"/>
        </w:rPr>
      </w:pPr>
    </w:p>
    <w:p w:rsidR="00C71882" w:rsidRPr="00906F5F" w:rsidRDefault="00C71882" w:rsidP="007C5610">
      <w:pPr>
        <w:spacing w:before="100" w:beforeAutospacing="1" w:after="100" w:afterAutospacing="1"/>
        <w:ind w:firstLine="567"/>
        <w:contextualSpacing/>
        <w:jc w:val="both"/>
        <w:rPr>
          <w:sz w:val="24"/>
          <w:szCs w:val="24"/>
        </w:rPr>
      </w:pPr>
      <w:r w:rsidRPr="00906F5F">
        <w:rPr>
          <w:b/>
          <w:bCs/>
          <w:sz w:val="24"/>
          <w:szCs w:val="24"/>
        </w:rPr>
        <w:t xml:space="preserve">Yeterlik Sınavı ve Modül </w:t>
      </w:r>
      <w:r w:rsidR="00D66D01">
        <w:rPr>
          <w:b/>
          <w:bCs/>
          <w:sz w:val="24"/>
          <w:szCs w:val="24"/>
        </w:rPr>
        <w:t>Düzey</w:t>
      </w:r>
      <w:r w:rsidRPr="00906F5F">
        <w:rPr>
          <w:b/>
          <w:bCs/>
          <w:sz w:val="24"/>
          <w:szCs w:val="24"/>
        </w:rPr>
        <w:t xml:space="preserve"> Tespit Sınavı</w:t>
      </w:r>
    </w:p>
    <w:p w:rsidR="00C71882" w:rsidRPr="00906F5F" w:rsidRDefault="00C71882" w:rsidP="007C5610">
      <w:pPr>
        <w:spacing w:before="100" w:beforeAutospacing="1" w:after="100" w:afterAutospacing="1"/>
        <w:ind w:firstLine="567"/>
        <w:contextualSpacing/>
        <w:jc w:val="both"/>
        <w:rPr>
          <w:sz w:val="24"/>
          <w:szCs w:val="24"/>
        </w:rPr>
      </w:pPr>
      <w:r w:rsidRPr="00906F5F">
        <w:rPr>
          <w:b/>
          <w:bCs/>
          <w:sz w:val="24"/>
          <w:szCs w:val="24"/>
        </w:rPr>
        <w:t>MADDE 7 –</w:t>
      </w:r>
      <w:r w:rsidRPr="00906F5F">
        <w:rPr>
          <w:sz w:val="24"/>
          <w:szCs w:val="24"/>
        </w:rPr>
        <w:t xml:space="preserve"> (1) Yabancı dil hazırlık programı bulunan bölümlere ilk kez kayıt yaptıran ve daha önceki yıllardan başarısız olan öğrenciler dersler başlamadan önce yabancı dil yeterlik sınavına girerler. Yeterlik puanına sahip olanlar yabancı dil hazırlık eğitiminden muaf tutulurlar.  </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t xml:space="preserve">(2) Yabancı dil hazırlık programını okuyacak öğrenciler </w:t>
      </w:r>
      <w:proofErr w:type="gramStart"/>
      <w:r w:rsidRPr="00906F5F">
        <w:rPr>
          <w:sz w:val="24"/>
          <w:szCs w:val="24"/>
        </w:rPr>
        <w:t>modül</w:t>
      </w:r>
      <w:proofErr w:type="gramEnd"/>
      <w:r w:rsidRPr="00906F5F">
        <w:rPr>
          <w:sz w:val="24"/>
          <w:szCs w:val="24"/>
        </w:rPr>
        <w:t xml:space="preserve"> </w:t>
      </w:r>
      <w:r w:rsidR="00D66D01">
        <w:rPr>
          <w:sz w:val="24"/>
          <w:szCs w:val="24"/>
        </w:rPr>
        <w:t>düzey</w:t>
      </w:r>
      <w:r w:rsidRPr="00906F5F">
        <w:rPr>
          <w:sz w:val="24"/>
          <w:szCs w:val="24"/>
        </w:rPr>
        <w:t xml:space="preserve"> tespit sınavına girerler ve bu sınavdan aldıkları puana göre uygun modül </w:t>
      </w:r>
      <w:r w:rsidR="00D66D01">
        <w:rPr>
          <w:sz w:val="24"/>
          <w:szCs w:val="24"/>
        </w:rPr>
        <w:t>düzeylerine</w:t>
      </w:r>
      <w:r w:rsidRPr="00906F5F">
        <w:rPr>
          <w:sz w:val="24"/>
          <w:szCs w:val="24"/>
        </w:rPr>
        <w:t xml:space="preserve"> yerleştirilirler. </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t xml:space="preserve">(3) Yeterlik ve </w:t>
      </w:r>
      <w:proofErr w:type="gramStart"/>
      <w:r w:rsidRPr="00906F5F">
        <w:rPr>
          <w:sz w:val="24"/>
          <w:szCs w:val="24"/>
        </w:rPr>
        <w:t>modül</w:t>
      </w:r>
      <w:proofErr w:type="gramEnd"/>
      <w:r w:rsidRPr="00906F5F">
        <w:rPr>
          <w:sz w:val="24"/>
          <w:szCs w:val="24"/>
        </w:rPr>
        <w:t xml:space="preserve"> </w:t>
      </w:r>
      <w:r w:rsidR="00D66D01">
        <w:rPr>
          <w:sz w:val="24"/>
          <w:szCs w:val="24"/>
        </w:rPr>
        <w:t>düzey</w:t>
      </w:r>
      <w:r w:rsidRPr="00906F5F">
        <w:rPr>
          <w:sz w:val="24"/>
          <w:szCs w:val="24"/>
        </w:rPr>
        <w:t xml:space="preserve"> tespit sınavının tarihi Yüksekokul Müdürlüğünün önerisi üzerine Senato tarafından karara bağlanır ve her yıl akademik takvimde belirtilir. Yeterlik ve </w:t>
      </w:r>
      <w:proofErr w:type="gramStart"/>
      <w:r w:rsidRPr="00906F5F">
        <w:rPr>
          <w:sz w:val="24"/>
          <w:szCs w:val="24"/>
        </w:rPr>
        <w:t>modül</w:t>
      </w:r>
      <w:proofErr w:type="gramEnd"/>
      <w:r w:rsidRPr="00906F5F">
        <w:rPr>
          <w:sz w:val="24"/>
          <w:szCs w:val="24"/>
        </w:rPr>
        <w:t xml:space="preserve"> </w:t>
      </w:r>
      <w:r w:rsidR="00D66D01">
        <w:rPr>
          <w:sz w:val="24"/>
          <w:szCs w:val="24"/>
        </w:rPr>
        <w:t>düzey</w:t>
      </w:r>
      <w:r w:rsidRPr="00906F5F">
        <w:rPr>
          <w:sz w:val="24"/>
          <w:szCs w:val="24"/>
        </w:rPr>
        <w:t xml:space="preserve"> tespit sınavına katılmayan öğrencilere mazeret sınav hakkı verilmez.</w:t>
      </w:r>
    </w:p>
    <w:p w:rsidR="00C71882" w:rsidRDefault="00C71882" w:rsidP="007C5610">
      <w:pPr>
        <w:spacing w:before="100" w:beforeAutospacing="1" w:after="100" w:afterAutospacing="1"/>
        <w:ind w:firstLine="567"/>
        <w:contextualSpacing/>
        <w:jc w:val="both"/>
        <w:rPr>
          <w:sz w:val="24"/>
          <w:szCs w:val="24"/>
        </w:rPr>
      </w:pPr>
      <w:r w:rsidRPr="00906F5F">
        <w:rPr>
          <w:sz w:val="24"/>
          <w:szCs w:val="24"/>
        </w:rPr>
        <w:t xml:space="preserve">(4) Yabancı dil hazırlık eğitimine kabul edilen bölüm/programlara kayıt yaptıran öğrencilerden Yeterlik ve </w:t>
      </w:r>
      <w:proofErr w:type="gramStart"/>
      <w:r w:rsidRPr="00906F5F">
        <w:rPr>
          <w:sz w:val="24"/>
          <w:szCs w:val="24"/>
        </w:rPr>
        <w:t>modül</w:t>
      </w:r>
      <w:proofErr w:type="gramEnd"/>
      <w:r w:rsidRPr="00906F5F">
        <w:rPr>
          <w:sz w:val="24"/>
          <w:szCs w:val="24"/>
        </w:rPr>
        <w:t xml:space="preserve"> </w:t>
      </w:r>
      <w:r w:rsidR="00D66D01">
        <w:rPr>
          <w:sz w:val="24"/>
          <w:szCs w:val="24"/>
        </w:rPr>
        <w:t>düzey</w:t>
      </w:r>
      <w:r w:rsidRPr="00906F5F">
        <w:rPr>
          <w:sz w:val="24"/>
          <w:szCs w:val="24"/>
        </w:rPr>
        <w:t xml:space="preserve"> tespit sınavına girmeyenler eğitim-öğretime başlangıç düzeyinden başlar. </w:t>
      </w:r>
    </w:p>
    <w:p w:rsidR="007C5610" w:rsidRDefault="007C5610" w:rsidP="007C5610">
      <w:pPr>
        <w:spacing w:before="100" w:beforeAutospacing="1" w:after="100" w:afterAutospacing="1"/>
        <w:ind w:firstLine="567"/>
        <w:contextualSpacing/>
        <w:jc w:val="both"/>
        <w:rPr>
          <w:sz w:val="24"/>
          <w:szCs w:val="24"/>
        </w:rPr>
      </w:pPr>
    </w:p>
    <w:p w:rsidR="007C5610" w:rsidRPr="00906F5F" w:rsidRDefault="007C5610" w:rsidP="007C5610">
      <w:pPr>
        <w:spacing w:before="100" w:beforeAutospacing="1" w:after="100" w:afterAutospacing="1"/>
        <w:ind w:firstLine="567"/>
        <w:contextualSpacing/>
        <w:jc w:val="both"/>
        <w:rPr>
          <w:sz w:val="24"/>
          <w:szCs w:val="24"/>
        </w:rPr>
      </w:pPr>
    </w:p>
    <w:p w:rsidR="00C71882" w:rsidRPr="00906F5F" w:rsidRDefault="00C71882" w:rsidP="007C5610">
      <w:pPr>
        <w:spacing w:before="100" w:beforeAutospacing="1" w:after="100" w:afterAutospacing="1"/>
        <w:ind w:firstLine="567"/>
        <w:contextualSpacing/>
        <w:jc w:val="both"/>
        <w:rPr>
          <w:sz w:val="24"/>
          <w:szCs w:val="24"/>
        </w:rPr>
      </w:pPr>
      <w:r w:rsidRPr="00906F5F">
        <w:rPr>
          <w:b/>
          <w:bCs/>
          <w:sz w:val="24"/>
          <w:szCs w:val="24"/>
        </w:rPr>
        <w:lastRenderedPageBreak/>
        <w:t xml:space="preserve">Yabancı dil hazırlık programı muafiyet esasları </w:t>
      </w:r>
    </w:p>
    <w:p w:rsidR="00C71882" w:rsidRPr="00906F5F" w:rsidRDefault="00C71882" w:rsidP="007C5610">
      <w:pPr>
        <w:spacing w:before="100" w:beforeAutospacing="1" w:after="100" w:afterAutospacing="1"/>
        <w:ind w:firstLine="567"/>
        <w:contextualSpacing/>
        <w:jc w:val="both"/>
        <w:rPr>
          <w:sz w:val="24"/>
          <w:szCs w:val="24"/>
        </w:rPr>
      </w:pPr>
      <w:r w:rsidRPr="00906F5F">
        <w:rPr>
          <w:b/>
          <w:bCs/>
          <w:sz w:val="24"/>
          <w:szCs w:val="24"/>
        </w:rPr>
        <w:t>MADDE 8 –</w:t>
      </w:r>
      <w:r w:rsidRPr="00906F5F">
        <w:rPr>
          <w:sz w:val="24"/>
          <w:szCs w:val="24"/>
        </w:rPr>
        <w:t xml:space="preserve"> (1) Yabancı dil hazırlık programı bulunan birimlere ilk kez kayıt yaptıran öğrencilerden;</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t>a) Öğretim yılı başında yapılan yeterlik sınavında 100</w:t>
      </w:r>
      <w:r w:rsidR="00412AAC" w:rsidRPr="00906F5F">
        <w:rPr>
          <w:sz w:val="24"/>
          <w:szCs w:val="24"/>
        </w:rPr>
        <w:t xml:space="preserve"> tam puan üzerinden 7</w:t>
      </w:r>
      <w:r w:rsidRPr="00906F5F">
        <w:rPr>
          <w:sz w:val="24"/>
          <w:szCs w:val="24"/>
        </w:rPr>
        <w:t xml:space="preserve">0 ve üstü </w:t>
      </w:r>
      <w:r w:rsidR="00412AAC" w:rsidRPr="00906F5F">
        <w:rPr>
          <w:sz w:val="24"/>
          <w:szCs w:val="24"/>
        </w:rPr>
        <w:t xml:space="preserve">not alarak </w:t>
      </w:r>
      <w:r w:rsidRPr="00906F5F">
        <w:rPr>
          <w:sz w:val="24"/>
          <w:szCs w:val="24"/>
        </w:rPr>
        <w:t>başarı gösterenler,</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t>b) YDS’den 55 ve üzeri veya Üniversitelerarası Kurulca eşdeğer kabul edilen ulusal ve/veya uluslararası yabancı dil sınavlarının birinden geçer puanı aldığını belgeleyenler, yabancı dil hazırlık programı eğitiminden muaf tutulur. Bu sınavlarda alınan puanın değerlendirmeye alınabilmesi için, sınavın yapı</w:t>
      </w:r>
      <w:r w:rsidR="006F4D8A" w:rsidRPr="00906F5F">
        <w:rPr>
          <w:sz w:val="24"/>
          <w:szCs w:val="24"/>
        </w:rPr>
        <w:t>ldığı tarihten itibaren üç yıl</w:t>
      </w:r>
      <w:r w:rsidRPr="00906F5F">
        <w:rPr>
          <w:sz w:val="24"/>
          <w:szCs w:val="24"/>
        </w:rPr>
        <w:t xml:space="preserve"> geçmemiş olması gerekir. </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t>(2) Yatay veya dikey geçiş yolu ile gelen veya Öğrenci Seçme ve Yerleştirme Merkezi (ÖSYM) tarafından Üniversiteye yeniden yerleştirilen öğrencilerin yabancı dil hazırlık programı muafiyet durumları Yüksekokul Yönetim Kurulunca karara bağlanır.</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t>(3) Bu maddenin birinci ve ikinci fıkrasında belirtilen şartları sağlayamayan öğrenciler yabancı dil hazırlık programlarına devam eder. Yeterlik sınavında başarılı olan öğrencilere başarı belgesi verilir.</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t xml:space="preserve"> (4) Yeterlik sınavlarının tarihleri, Yüksekokul Müdürlüğünün önerisi üzerine Senato tarafından karara bağlanır ve her yıl akademik takvimde belirtilir. Yeterlik sınavları, güz yarıyılı başında, sonunda ve bahar yarıyılı sonunda olmak üzere yılda üç kez yapılır. Bu sınavlardan;</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t>a) Güz yarıyılı başında yapılan yeterlik sınavına; Üniversiteye ilk kez kayıt yaptıran, daha önceki yıllarda yabancı dil hazırlık programından başarısız olan öğrenciler,</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t>b) Güz yarıyılı sonunda yapılan yeterlik sınavına; daha önceki yıllarda yabancı dil hazırlık programından başarısız olanlar öğrenciler,</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t xml:space="preserve">c) Bahar yarıyılı sonunda yapılan yeterlik sınavına; yabancı dil hazırlık programına ilk kez kayıt yaptıran ancak yıl içinde başarısız olan ve/veya devamsızlıktan kalan, daha önceki yıllarda yabancı dil hazırlık programından başarısız olan ve kendi </w:t>
      </w:r>
      <w:proofErr w:type="gramStart"/>
      <w:r w:rsidRPr="00906F5F">
        <w:rPr>
          <w:sz w:val="24"/>
          <w:szCs w:val="24"/>
        </w:rPr>
        <w:t>imkanlarıyla</w:t>
      </w:r>
      <w:proofErr w:type="gramEnd"/>
      <w:r w:rsidRPr="00906F5F">
        <w:rPr>
          <w:sz w:val="24"/>
          <w:szCs w:val="24"/>
        </w:rPr>
        <w:t xml:space="preserve"> hazırlanan öğrenciler, girebilirler.</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t>d) Yeterlik sınavına katılma koşullarını Yüksekokul Kurulu belirler.</w:t>
      </w:r>
    </w:p>
    <w:p w:rsidR="00906F5F" w:rsidRDefault="00C71882" w:rsidP="007C5610">
      <w:pPr>
        <w:spacing w:before="100" w:beforeAutospacing="1" w:after="100" w:afterAutospacing="1"/>
        <w:ind w:firstLine="567"/>
        <w:contextualSpacing/>
        <w:jc w:val="both"/>
        <w:rPr>
          <w:sz w:val="24"/>
          <w:szCs w:val="24"/>
        </w:rPr>
      </w:pPr>
      <w:r w:rsidRPr="00906F5F">
        <w:rPr>
          <w:sz w:val="24"/>
          <w:szCs w:val="24"/>
        </w:rPr>
        <w:t xml:space="preserve">e) Bu sınavlar için mazeret sınav hakkı verilmez. </w:t>
      </w:r>
    </w:p>
    <w:p w:rsidR="00906F5F" w:rsidRPr="00906F5F" w:rsidRDefault="00906F5F" w:rsidP="007C5610">
      <w:pPr>
        <w:spacing w:before="100" w:beforeAutospacing="1" w:after="100" w:afterAutospacing="1"/>
        <w:ind w:firstLine="567"/>
        <w:contextualSpacing/>
        <w:jc w:val="both"/>
        <w:rPr>
          <w:sz w:val="24"/>
          <w:szCs w:val="24"/>
        </w:rPr>
      </w:pPr>
    </w:p>
    <w:p w:rsidR="00C71882" w:rsidRPr="00906F5F" w:rsidRDefault="00C71882" w:rsidP="007C5610">
      <w:pPr>
        <w:spacing w:before="100" w:beforeAutospacing="1" w:after="100" w:afterAutospacing="1"/>
        <w:ind w:firstLine="567"/>
        <w:contextualSpacing/>
        <w:jc w:val="both"/>
        <w:rPr>
          <w:sz w:val="24"/>
          <w:szCs w:val="24"/>
        </w:rPr>
      </w:pPr>
      <w:r w:rsidRPr="00906F5F">
        <w:rPr>
          <w:b/>
          <w:bCs/>
          <w:sz w:val="24"/>
          <w:szCs w:val="24"/>
        </w:rPr>
        <w:t>Modüller arası geçiş</w:t>
      </w:r>
    </w:p>
    <w:p w:rsidR="00C71882" w:rsidRPr="00906F5F" w:rsidRDefault="00C71882" w:rsidP="007C5610">
      <w:pPr>
        <w:spacing w:before="100" w:beforeAutospacing="1" w:after="100" w:afterAutospacing="1"/>
        <w:ind w:firstLine="567"/>
        <w:contextualSpacing/>
        <w:jc w:val="both"/>
        <w:rPr>
          <w:sz w:val="24"/>
          <w:szCs w:val="24"/>
        </w:rPr>
      </w:pPr>
      <w:r w:rsidRPr="00906F5F">
        <w:rPr>
          <w:b/>
          <w:bCs/>
          <w:sz w:val="24"/>
          <w:szCs w:val="24"/>
        </w:rPr>
        <w:t xml:space="preserve">MADDE 9 – </w:t>
      </w:r>
      <w:r w:rsidRPr="00906F5F">
        <w:rPr>
          <w:sz w:val="24"/>
          <w:szCs w:val="24"/>
        </w:rPr>
        <w:t xml:space="preserve">(1) Yabancı dil hazırlık programına kaydolan öğrenciler, eğitim-öğretim yılı içerisinde </w:t>
      </w:r>
      <w:proofErr w:type="gramStart"/>
      <w:r w:rsidRPr="00906F5F">
        <w:rPr>
          <w:sz w:val="24"/>
          <w:szCs w:val="24"/>
        </w:rPr>
        <w:t>modül</w:t>
      </w:r>
      <w:proofErr w:type="gramEnd"/>
      <w:r w:rsidRPr="00906F5F">
        <w:rPr>
          <w:sz w:val="24"/>
          <w:szCs w:val="24"/>
        </w:rPr>
        <w:t xml:space="preserve"> sonu itibariyle, tüm sınavların ortalama başarı durumlarına göre üst </w:t>
      </w:r>
      <w:r w:rsidR="00D66D01">
        <w:rPr>
          <w:sz w:val="24"/>
          <w:szCs w:val="24"/>
        </w:rPr>
        <w:t>düzeye</w:t>
      </w:r>
      <w:r w:rsidRPr="00906F5F">
        <w:rPr>
          <w:sz w:val="24"/>
          <w:szCs w:val="24"/>
        </w:rPr>
        <w:t xml:space="preserve"> Yüksekokul Yönetim Kurulu Kararı ile geçebilirler veya </w:t>
      </w:r>
      <w:r w:rsidR="00D66D01">
        <w:rPr>
          <w:sz w:val="24"/>
          <w:szCs w:val="24"/>
        </w:rPr>
        <w:t>düzey</w:t>
      </w:r>
      <w:r w:rsidRPr="00906F5F">
        <w:rPr>
          <w:sz w:val="24"/>
          <w:szCs w:val="24"/>
        </w:rPr>
        <w:t xml:space="preserve"> tekrarı yaparlar.</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t xml:space="preserve">(2) Modül sonunda başarısız olan öğrenciler aynı </w:t>
      </w:r>
      <w:r w:rsidR="00D66D01">
        <w:rPr>
          <w:sz w:val="24"/>
          <w:szCs w:val="24"/>
        </w:rPr>
        <w:t>düzeyi</w:t>
      </w:r>
      <w:r w:rsidRPr="00906F5F">
        <w:rPr>
          <w:sz w:val="24"/>
          <w:szCs w:val="24"/>
        </w:rPr>
        <w:t xml:space="preserve"> en fazla iki kez tekrarlar. Aynı </w:t>
      </w:r>
      <w:r w:rsidR="00D66D01">
        <w:rPr>
          <w:sz w:val="24"/>
          <w:szCs w:val="24"/>
        </w:rPr>
        <w:t>düzeyde</w:t>
      </w:r>
      <w:r w:rsidRPr="00906F5F">
        <w:rPr>
          <w:sz w:val="24"/>
          <w:szCs w:val="24"/>
        </w:rPr>
        <w:t xml:space="preserve"> iki kez başarısız olan öğrenci derslere devam edemez ancak Modül Telafi Sınavına girebilir. Modül Telafi Sınavında yeterl</w:t>
      </w:r>
      <w:r w:rsidR="00D66D01">
        <w:rPr>
          <w:sz w:val="24"/>
          <w:szCs w:val="24"/>
        </w:rPr>
        <w:t xml:space="preserve">ik alması durumunda bir üst düzeyden </w:t>
      </w:r>
      <w:r w:rsidRPr="00906F5F">
        <w:rPr>
          <w:sz w:val="24"/>
          <w:szCs w:val="24"/>
        </w:rPr>
        <w:t>eğitimine devam edebilir.</w:t>
      </w:r>
    </w:p>
    <w:p w:rsidR="00C71882" w:rsidRDefault="00C71882" w:rsidP="007C5610">
      <w:pPr>
        <w:spacing w:before="100" w:beforeAutospacing="1" w:after="100" w:afterAutospacing="1"/>
        <w:ind w:firstLine="567"/>
        <w:contextualSpacing/>
        <w:jc w:val="both"/>
        <w:rPr>
          <w:sz w:val="24"/>
          <w:szCs w:val="24"/>
        </w:rPr>
      </w:pPr>
      <w:r w:rsidRPr="00906F5F">
        <w:rPr>
          <w:sz w:val="24"/>
          <w:szCs w:val="24"/>
        </w:rPr>
        <w:t xml:space="preserve">(3) Öğrenci, modül sonunda not ortalaması </w:t>
      </w:r>
      <w:r w:rsidR="00C21D19" w:rsidRPr="00906F5F">
        <w:rPr>
          <w:sz w:val="24"/>
          <w:szCs w:val="24"/>
        </w:rPr>
        <w:t xml:space="preserve">100 tam puan üzerinden 80 </w:t>
      </w:r>
      <w:r w:rsidRPr="00906F5F">
        <w:rPr>
          <w:sz w:val="24"/>
          <w:szCs w:val="24"/>
        </w:rPr>
        <w:t xml:space="preserve">ve üzeri </w:t>
      </w:r>
      <w:r w:rsidR="00C21D19" w:rsidRPr="00906F5F">
        <w:rPr>
          <w:sz w:val="24"/>
          <w:szCs w:val="24"/>
        </w:rPr>
        <w:t xml:space="preserve">not </w:t>
      </w:r>
      <w:proofErr w:type="gramStart"/>
      <w:r w:rsidR="00C21D19" w:rsidRPr="00906F5F">
        <w:rPr>
          <w:sz w:val="24"/>
          <w:szCs w:val="24"/>
        </w:rPr>
        <w:t xml:space="preserve">almak </w:t>
      </w:r>
      <w:r w:rsidRPr="00906F5F">
        <w:rPr>
          <w:sz w:val="24"/>
          <w:szCs w:val="24"/>
        </w:rPr>
        <w:t xml:space="preserve"> şartıyla</w:t>
      </w:r>
      <w:proofErr w:type="gramEnd"/>
      <w:r w:rsidRPr="00906F5F">
        <w:rPr>
          <w:sz w:val="24"/>
          <w:szCs w:val="24"/>
        </w:rPr>
        <w:t xml:space="preserve">, yıl içinde yapılacak olan Modül Atlama Sınavına da girebilir ve Modül Atlama Sınavı notu esas alınarak daha üst </w:t>
      </w:r>
      <w:r w:rsidR="00D66D01">
        <w:rPr>
          <w:sz w:val="24"/>
          <w:szCs w:val="24"/>
        </w:rPr>
        <w:t>düzeye</w:t>
      </w:r>
      <w:r w:rsidRPr="00906F5F">
        <w:rPr>
          <w:sz w:val="24"/>
          <w:szCs w:val="24"/>
        </w:rPr>
        <w:t xml:space="preserve"> yerleştirilir. </w:t>
      </w:r>
    </w:p>
    <w:p w:rsidR="007C5610" w:rsidRPr="00906F5F" w:rsidRDefault="007C5610" w:rsidP="007C5610">
      <w:pPr>
        <w:spacing w:before="100" w:beforeAutospacing="1" w:after="100" w:afterAutospacing="1"/>
        <w:ind w:firstLine="567"/>
        <w:contextualSpacing/>
        <w:jc w:val="both"/>
        <w:rPr>
          <w:sz w:val="24"/>
          <w:szCs w:val="24"/>
        </w:rPr>
      </w:pPr>
    </w:p>
    <w:p w:rsidR="00C71882" w:rsidRPr="00906F5F" w:rsidRDefault="00C71882" w:rsidP="007C5610">
      <w:pPr>
        <w:spacing w:before="100" w:beforeAutospacing="1" w:after="100" w:afterAutospacing="1"/>
        <w:ind w:firstLine="567"/>
        <w:contextualSpacing/>
        <w:jc w:val="both"/>
        <w:rPr>
          <w:sz w:val="24"/>
          <w:szCs w:val="24"/>
        </w:rPr>
      </w:pPr>
      <w:r w:rsidRPr="00906F5F">
        <w:rPr>
          <w:b/>
          <w:bCs/>
          <w:sz w:val="24"/>
          <w:szCs w:val="24"/>
        </w:rPr>
        <w:t>Devam zorunluluğu</w:t>
      </w:r>
    </w:p>
    <w:p w:rsidR="00C71882" w:rsidRDefault="00C71882" w:rsidP="007C5610">
      <w:pPr>
        <w:spacing w:before="100" w:beforeAutospacing="1" w:after="100" w:afterAutospacing="1"/>
        <w:ind w:firstLine="567"/>
        <w:contextualSpacing/>
        <w:jc w:val="both"/>
        <w:rPr>
          <w:sz w:val="24"/>
          <w:szCs w:val="24"/>
        </w:rPr>
      </w:pPr>
      <w:r w:rsidRPr="00906F5F">
        <w:rPr>
          <w:b/>
          <w:bCs/>
          <w:sz w:val="24"/>
          <w:szCs w:val="24"/>
        </w:rPr>
        <w:t xml:space="preserve">MADDE 10 – </w:t>
      </w:r>
      <w:r w:rsidRPr="00906F5F">
        <w:rPr>
          <w:sz w:val="24"/>
          <w:szCs w:val="24"/>
        </w:rPr>
        <w:t xml:space="preserve">(1) Öğrenciler, yabancı dil hazırlık programındaki her bir </w:t>
      </w:r>
      <w:proofErr w:type="gramStart"/>
      <w:r w:rsidRPr="00906F5F">
        <w:rPr>
          <w:sz w:val="24"/>
          <w:szCs w:val="24"/>
        </w:rPr>
        <w:t>modüldeki</w:t>
      </w:r>
      <w:proofErr w:type="gramEnd"/>
      <w:r w:rsidRPr="00906F5F">
        <w:rPr>
          <w:sz w:val="24"/>
          <w:szCs w:val="24"/>
        </w:rPr>
        <w:t xml:space="preserve"> derslerin  % 85'ine devam etmek zorundadır. Devam koşulunu yerine getirmeyen öğrenciler </w:t>
      </w:r>
      <w:r w:rsidR="008A3CEC" w:rsidRPr="00906F5F">
        <w:rPr>
          <w:sz w:val="24"/>
          <w:szCs w:val="24"/>
        </w:rPr>
        <w:t xml:space="preserve">kayıtlı </w:t>
      </w:r>
      <w:proofErr w:type="gramStart"/>
      <w:r w:rsidR="008A3CEC" w:rsidRPr="00906F5F">
        <w:rPr>
          <w:sz w:val="24"/>
          <w:szCs w:val="24"/>
        </w:rPr>
        <w:t xml:space="preserve">oldukları </w:t>
      </w:r>
      <w:r w:rsidRPr="00906F5F">
        <w:rPr>
          <w:sz w:val="24"/>
          <w:szCs w:val="24"/>
        </w:rPr>
        <w:t xml:space="preserve"> modül</w:t>
      </w:r>
      <w:proofErr w:type="gramEnd"/>
      <w:r w:rsidRPr="00906F5F">
        <w:rPr>
          <w:sz w:val="24"/>
          <w:szCs w:val="24"/>
        </w:rPr>
        <w:t xml:space="preserve"> için başarısız sayılır. Bu öğrenciler </w:t>
      </w:r>
      <w:proofErr w:type="gramStart"/>
      <w:r w:rsidRPr="00906F5F">
        <w:rPr>
          <w:sz w:val="24"/>
          <w:szCs w:val="24"/>
        </w:rPr>
        <w:t>modül</w:t>
      </w:r>
      <w:proofErr w:type="gramEnd"/>
      <w:r w:rsidRPr="00906F5F">
        <w:rPr>
          <w:sz w:val="24"/>
          <w:szCs w:val="24"/>
        </w:rPr>
        <w:t xml:space="preserve"> sonunda yapılan Modül Bitirme Sınavına alınmaz, aynı </w:t>
      </w:r>
      <w:r w:rsidR="006F4D8A" w:rsidRPr="00906F5F">
        <w:rPr>
          <w:sz w:val="24"/>
          <w:szCs w:val="24"/>
        </w:rPr>
        <w:t>modülü</w:t>
      </w:r>
      <w:r w:rsidRPr="00906F5F">
        <w:rPr>
          <w:sz w:val="24"/>
          <w:szCs w:val="24"/>
        </w:rPr>
        <w:t xml:space="preserve"> tekrar ederler. </w:t>
      </w:r>
    </w:p>
    <w:p w:rsidR="007C5610" w:rsidRPr="00906F5F" w:rsidRDefault="007C5610" w:rsidP="007C5610">
      <w:pPr>
        <w:spacing w:before="100" w:beforeAutospacing="1" w:after="100" w:afterAutospacing="1"/>
        <w:ind w:firstLine="567"/>
        <w:contextualSpacing/>
        <w:jc w:val="both"/>
        <w:rPr>
          <w:sz w:val="24"/>
          <w:szCs w:val="24"/>
        </w:rPr>
      </w:pPr>
    </w:p>
    <w:p w:rsidR="00C71882" w:rsidRPr="00906F5F" w:rsidRDefault="00C71882" w:rsidP="007C5610">
      <w:pPr>
        <w:spacing w:before="100" w:beforeAutospacing="1" w:after="100" w:afterAutospacing="1"/>
        <w:ind w:firstLine="567"/>
        <w:contextualSpacing/>
        <w:jc w:val="both"/>
        <w:rPr>
          <w:b/>
          <w:bCs/>
          <w:sz w:val="24"/>
          <w:szCs w:val="24"/>
        </w:rPr>
      </w:pPr>
      <w:r w:rsidRPr="00906F5F">
        <w:rPr>
          <w:b/>
          <w:bCs/>
          <w:sz w:val="24"/>
          <w:szCs w:val="24"/>
        </w:rPr>
        <w:t>Ara Sınavlar</w:t>
      </w:r>
    </w:p>
    <w:p w:rsidR="00C71882" w:rsidRPr="00906F5F" w:rsidRDefault="00C71882" w:rsidP="007C5610">
      <w:pPr>
        <w:spacing w:before="100" w:beforeAutospacing="1" w:after="100" w:afterAutospacing="1"/>
        <w:ind w:firstLine="567"/>
        <w:contextualSpacing/>
        <w:jc w:val="both"/>
        <w:rPr>
          <w:sz w:val="24"/>
          <w:szCs w:val="24"/>
        </w:rPr>
      </w:pPr>
      <w:r w:rsidRPr="00906F5F">
        <w:rPr>
          <w:b/>
          <w:bCs/>
          <w:sz w:val="24"/>
          <w:szCs w:val="24"/>
        </w:rPr>
        <w:t xml:space="preserve">MADDE 11 – </w:t>
      </w:r>
      <w:r w:rsidRPr="00906F5F">
        <w:rPr>
          <w:sz w:val="24"/>
          <w:szCs w:val="24"/>
        </w:rPr>
        <w:t xml:space="preserve">(1) Yabancı dil hazırlık eğitim-öğretimi süresince, ara sınavlar, bunlara ait mazeret sınavları ile kısa süreli sınavlar yapılır. Ara sınavlar yazılı, sözlü veya hem yazılı </w:t>
      </w:r>
      <w:r w:rsidRPr="00906F5F">
        <w:rPr>
          <w:sz w:val="24"/>
          <w:szCs w:val="24"/>
        </w:rPr>
        <w:lastRenderedPageBreak/>
        <w:t>hem sözlü olarak yapılabilir. Sınavların yapılış biçimi ve sayısı Yüksekokul Müdürlüğünce belirlenir ve sınavdan en az bir hafta önce ilan edilir.</w:t>
      </w:r>
    </w:p>
    <w:p w:rsidR="00C71882" w:rsidRDefault="00C71882" w:rsidP="007C5610">
      <w:pPr>
        <w:spacing w:before="100" w:beforeAutospacing="1" w:after="100" w:afterAutospacing="1"/>
        <w:ind w:firstLine="567"/>
        <w:contextualSpacing/>
        <w:jc w:val="both"/>
        <w:rPr>
          <w:sz w:val="24"/>
          <w:szCs w:val="24"/>
        </w:rPr>
      </w:pPr>
      <w:r w:rsidRPr="00906F5F">
        <w:rPr>
          <w:sz w:val="24"/>
          <w:szCs w:val="24"/>
        </w:rPr>
        <w:t>(2) Sınav sonuçları Yüksekokul Yönetim Kurulunca ilan edilir. Sınavlara itiraz, maddi hata yönünden sınav sonuçlarının ilan tarihini izleyen 5 (beş) iş günü içinde yazılı olarak, ilgili bölüme yapılır.</w:t>
      </w:r>
    </w:p>
    <w:p w:rsidR="007C5610" w:rsidRPr="00906F5F" w:rsidRDefault="007C5610" w:rsidP="007C5610">
      <w:pPr>
        <w:spacing w:before="100" w:beforeAutospacing="1" w:after="100" w:afterAutospacing="1"/>
        <w:ind w:firstLine="567"/>
        <w:contextualSpacing/>
        <w:jc w:val="both"/>
        <w:rPr>
          <w:sz w:val="24"/>
          <w:szCs w:val="24"/>
        </w:rPr>
      </w:pPr>
    </w:p>
    <w:p w:rsidR="00C71882" w:rsidRPr="00906F5F" w:rsidRDefault="00C71882" w:rsidP="007C5610">
      <w:pPr>
        <w:spacing w:before="100" w:beforeAutospacing="1" w:after="100" w:afterAutospacing="1"/>
        <w:ind w:firstLine="567"/>
        <w:contextualSpacing/>
        <w:jc w:val="both"/>
        <w:rPr>
          <w:sz w:val="24"/>
          <w:szCs w:val="24"/>
        </w:rPr>
      </w:pPr>
      <w:r w:rsidRPr="00906F5F">
        <w:rPr>
          <w:b/>
          <w:bCs/>
          <w:sz w:val="24"/>
          <w:szCs w:val="24"/>
        </w:rPr>
        <w:t>Mazeret sınavı</w:t>
      </w:r>
    </w:p>
    <w:p w:rsidR="00C71882" w:rsidRDefault="00C71882" w:rsidP="007C5610">
      <w:pPr>
        <w:spacing w:before="100" w:beforeAutospacing="1" w:after="100" w:afterAutospacing="1"/>
        <w:ind w:firstLine="567"/>
        <w:contextualSpacing/>
        <w:jc w:val="both"/>
        <w:rPr>
          <w:sz w:val="24"/>
          <w:szCs w:val="24"/>
        </w:rPr>
      </w:pPr>
      <w:r w:rsidRPr="00906F5F">
        <w:rPr>
          <w:b/>
          <w:bCs/>
          <w:sz w:val="24"/>
          <w:szCs w:val="24"/>
        </w:rPr>
        <w:t xml:space="preserve">MADDE 12 – </w:t>
      </w:r>
      <w:r w:rsidRPr="00906F5F">
        <w:rPr>
          <w:sz w:val="24"/>
          <w:szCs w:val="24"/>
        </w:rPr>
        <w:t xml:space="preserve">(1) Yüksekokul Yönetim Kurulunun uygun bulduğu haklı ve geçerli nedenlere dayalı mazereti nedeniyle ara sınavlara katılmayan öğrenciler, mazeretini ispatlayan belgelerle birlikte sınavdan sonraki 3 (üç) iş günü içinde Temel Yabancı Diller Bölümü’ne başvururlar. Mazeretlerinin kabulü halinde, öğrencinin katılmadığı ara sınavlar için ilgili Yüksekokul Yönetim Kurulunca Modül Bitirme Sınavından önce belirlenen tarihlerde mazeret sınavı yapılır. Yeterlik, </w:t>
      </w:r>
      <w:proofErr w:type="gramStart"/>
      <w:r w:rsidRPr="00906F5F">
        <w:rPr>
          <w:sz w:val="24"/>
          <w:szCs w:val="24"/>
        </w:rPr>
        <w:t>modül</w:t>
      </w:r>
      <w:proofErr w:type="gramEnd"/>
      <w:r w:rsidRPr="00906F5F">
        <w:rPr>
          <w:sz w:val="24"/>
          <w:szCs w:val="24"/>
        </w:rPr>
        <w:t xml:space="preserve"> </w:t>
      </w:r>
      <w:r w:rsidR="00D66D01">
        <w:rPr>
          <w:sz w:val="24"/>
          <w:szCs w:val="24"/>
        </w:rPr>
        <w:t>düzey</w:t>
      </w:r>
      <w:r w:rsidRPr="00906F5F">
        <w:rPr>
          <w:sz w:val="24"/>
          <w:szCs w:val="24"/>
        </w:rPr>
        <w:t xml:space="preserve"> tespit, modül bitirme, modül atlama ve modül telafi sınavları için mazeret sınavı açılmaz.</w:t>
      </w:r>
    </w:p>
    <w:p w:rsidR="007C5610" w:rsidRPr="00906F5F" w:rsidRDefault="007C5610" w:rsidP="007C5610">
      <w:pPr>
        <w:spacing w:before="100" w:beforeAutospacing="1" w:after="100" w:afterAutospacing="1"/>
        <w:ind w:firstLine="567"/>
        <w:contextualSpacing/>
        <w:jc w:val="both"/>
        <w:rPr>
          <w:sz w:val="24"/>
          <w:szCs w:val="24"/>
        </w:rPr>
      </w:pPr>
    </w:p>
    <w:p w:rsidR="00C71882" w:rsidRPr="00906F5F" w:rsidRDefault="00C71882" w:rsidP="007C5610">
      <w:pPr>
        <w:spacing w:before="100" w:beforeAutospacing="1" w:after="100" w:afterAutospacing="1"/>
        <w:ind w:firstLine="567"/>
        <w:contextualSpacing/>
        <w:jc w:val="both"/>
        <w:rPr>
          <w:sz w:val="24"/>
          <w:szCs w:val="24"/>
        </w:rPr>
      </w:pPr>
      <w:r w:rsidRPr="00906F5F">
        <w:rPr>
          <w:b/>
          <w:bCs/>
          <w:sz w:val="24"/>
          <w:szCs w:val="24"/>
        </w:rPr>
        <w:t>Başarı puanının belirlenmesi</w:t>
      </w:r>
    </w:p>
    <w:p w:rsidR="00C71882" w:rsidRPr="00906F5F" w:rsidRDefault="00C71882" w:rsidP="007C5610">
      <w:pPr>
        <w:spacing w:before="100" w:beforeAutospacing="1" w:after="100" w:afterAutospacing="1"/>
        <w:ind w:firstLine="567"/>
        <w:contextualSpacing/>
        <w:jc w:val="both"/>
        <w:rPr>
          <w:sz w:val="24"/>
          <w:szCs w:val="24"/>
        </w:rPr>
      </w:pPr>
      <w:r w:rsidRPr="00906F5F">
        <w:rPr>
          <w:b/>
          <w:bCs/>
          <w:sz w:val="24"/>
          <w:szCs w:val="24"/>
        </w:rPr>
        <w:t>MADDE 13 –</w:t>
      </w:r>
      <w:r w:rsidRPr="00906F5F">
        <w:rPr>
          <w:sz w:val="24"/>
          <w:szCs w:val="24"/>
        </w:rPr>
        <w:t xml:space="preserve"> (1) Yabancı dil hazırlık sınıfı süresince her türlü ölçme faaliyeti 100 tam puan üzerinden değerlendirilir. Buna göre, bir öğrencinin </w:t>
      </w:r>
      <w:proofErr w:type="gramStart"/>
      <w:r w:rsidRPr="00906F5F">
        <w:rPr>
          <w:sz w:val="24"/>
          <w:szCs w:val="24"/>
        </w:rPr>
        <w:t>modül</w:t>
      </w:r>
      <w:proofErr w:type="gramEnd"/>
      <w:r w:rsidRPr="00906F5F">
        <w:rPr>
          <w:sz w:val="24"/>
          <w:szCs w:val="24"/>
        </w:rPr>
        <w:t xml:space="preserve"> sonu itibarıyla başarı değerlendirme puanı; ara sınavların ortalamasının % 30'u, modül içinde verilen bilgi yoklama sınavlarının %10’u ve modül içi çalışmalarının ödev, proje, sunu ve benzeri ortalamasının % 10'u, Modül Bitirme Sınavının %50 'si toplanarak hesaplanır. </w:t>
      </w:r>
      <w:r w:rsidR="00C21D19" w:rsidRPr="00906F5F">
        <w:rPr>
          <w:sz w:val="24"/>
          <w:szCs w:val="24"/>
        </w:rPr>
        <w:t xml:space="preserve">Öğrencinin başarılı sayılabilmesi için başarı puanının 100 üzerinden </w:t>
      </w:r>
      <w:r w:rsidR="00D14605" w:rsidRPr="00906F5F">
        <w:rPr>
          <w:sz w:val="24"/>
          <w:szCs w:val="24"/>
        </w:rPr>
        <w:t xml:space="preserve">en az </w:t>
      </w:r>
      <w:r w:rsidR="00C21D19" w:rsidRPr="00906F5F">
        <w:rPr>
          <w:sz w:val="24"/>
          <w:szCs w:val="24"/>
        </w:rPr>
        <w:t>70 olması gerekir.</w:t>
      </w:r>
    </w:p>
    <w:p w:rsidR="00FB4822" w:rsidRPr="00906F5F" w:rsidRDefault="00FB4822" w:rsidP="007C5610">
      <w:pPr>
        <w:autoSpaceDE w:val="0"/>
        <w:autoSpaceDN w:val="0"/>
        <w:adjustRightInd w:val="0"/>
        <w:ind w:firstLine="567"/>
        <w:contextualSpacing/>
        <w:jc w:val="both"/>
        <w:rPr>
          <w:bCs/>
          <w:color w:val="000008"/>
          <w:sz w:val="24"/>
          <w:szCs w:val="24"/>
        </w:rPr>
      </w:pPr>
      <w:r w:rsidRPr="00906F5F">
        <w:rPr>
          <w:bCs/>
          <w:color w:val="000008"/>
          <w:sz w:val="24"/>
          <w:szCs w:val="24"/>
        </w:rPr>
        <w:t xml:space="preserve">(2) Hazırlık okuyan öğrencilerin hazırlık sınıfı </w:t>
      </w:r>
      <w:proofErr w:type="gramStart"/>
      <w:r w:rsidRPr="00906F5F">
        <w:rPr>
          <w:bCs/>
          <w:color w:val="000008"/>
          <w:sz w:val="24"/>
          <w:szCs w:val="24"/>
        </w:rPr>
        <w:t>modül</w:t>
      </w:r>
      <w:proofErr w:type="gramEnd"/>
      <w:r w:rsidRPr="00906F5F">
        <w:rPr>
          <w:bCs/>
          <w:color w:val="000008"/>
          <w:sz w:val="24"/>
          <w:szCs w:val="24"/>
        </w:rPr>
        <w:t xml:space="preserve"> </w:t>
      </w:r>
      <w:r w:rsidR="00D66D01">
        <w:rPr>
          <w:bCs/>
          <w:color w:val="000008"/>
          <w:sz w:val="24"/>
          <w:szCs w:val="24"/>
        </w:rPr>
        <w:t>düzeylerini</w:t>
      </w:r>
      <w:r w:rsidRPr="00906F5F">
        <w:rPr>
          <w:bCs/>
          <w:color w:val="000008"/>
          <w:sz w:val="24"/>
          <w:szCs w:val="24"/>
        </w:rPr>
        <w:t xml:space="preserve"> Ortak Zorunlu Dersler Seçmeli Yabancı Dil I ve II derslerine karşılık gelen eşdeğer puan tablosu aşağıdaki gibidir.</w:t>
      </w:r>
    </w:p>
    <w:p w:rsidR="00FB4822" w:rsidRPr="00906F5F" w:rsidRDefault="00FB4822" w:rsidP="007C5610">
      <w:pPr>
        <w:autoSpaceDE w:val="0"/>
        <w:autoSpaceDN w:val="0"/>
        <w:adjustRightInd w:val="0"/>
        <w:contextualSpacing/>
        <w:rPr>
          <w:b/>
          <w:bCs/>
          <w:color w:val="000008"/>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0"/>
        <w:gridCol w:w="1440"/>
        <w:gridCol w:w="1440"/>
        <w:gridCol w:w="1440"/>
      </w:tblGrid>
      <w:tr w:rsidR="002F7F52" w:rsidRPr="00906F5F" w:rsidTr="007C5610">
        <w:trPr>
          <w:trHeight w:val="378"/>
          <w:jc w:val="center"/>
        </w:trPr>
        <w:tc>
          <w:tcPr>
            <w:tcW w:w="5550" w:type="dxa"/>
            <w:gridSpan w:val="4"/>
          </w:tcPr>
          <w:p w:rsidR="002F7F52" w:rsidRPr="00906F5F" w:rsidRDefault="002F7F52" w:rsidP="007C5610">
            <w:pPr>
              <w:contextualSpacing/>
              <w:jc w:val="center"/>
              <w:rPr>
                <w:b/>
                <w:sz w:val="24"/>
                <w:szCs w:val="24"/>
              </w:rPr>
            </w:pPr>
            <w:r w:rsidRPr="00906F5F">
              <w:rPr>
                <w:b/>
                <w:sz w:val="24"/>
                <w:szCs w:val="24"/>
              </w:rPr>
              <w:t>HAZIRLIK – OZD DENKLİK TABLOSU</w:t>
            </w:r>
          </w:p>
        </w:tc>
      </w:tr>
      <w:tr w:rsidR="0086178C" w:rsidRPr="00906F5F" w:rsidTr="007C5610">
        <w:trPr>
          <w:trHeight w:val="359"/>
          <w:jc w:val="center"/>
        </w:trPr>
        <w:tc>
          <w:tcPr>
            <w:tcW w:w="1230" w:type="dxa"/>
          </w:tcPr>
          <w:p w:rsidR="0086178C" w:rsidRPr="00906F5F" w:rsidRDefault="0086178C" w:rsidP="007C5610">
            <w:pPr>
              <w:contextualSpacing/>
              <w:rPr>
                <w:b/>
                <w:sz w:val="24"/>
                <w:szCs w:val="24"/>
              </w:rPr>
            </w:pPr>
            <w:r w:rsidRPr="00906F5F">
              <w:rPr>
                <w:b/>
                <w:sz w:val="24"/>
                <w:szCs w:val="24"/>
              </w:rPr>
              <w:t xml:space="preserve">CEFR </w:t>
            </w:r>
            <w:r w:rsidR="00D66D01">
              <w:rPr>
                <w:b/>
                <w:sz w:val="24"/>
                <w:szCs w:val="24"/>
              </w:rPr>
              <w:t>Düzey</w:t>
            </w:r>
            <w:r w:rsidRPr="00906F5F">
              <w:rPr>
                <w:b/>
                <w:sz w:val="24"/>
                <w:szCs w:val="24"/>
              </w:rPr>
              <w:t xml:space="preserve">  (Hazırlık)</w:t>
            </w:r>
          </w:p>
        </w:tc>
        <w:tc>
          <w:tcPr>
            <w:tcW w:w="1440" w:type="dxa"/>
          </w:tcPr>
          <w:p w:rsidR="0086178C" w:rsidRPr="00906F5F" w:rsidRDefault="0086178C" w:rsidP="007C5610">
            <w:pPr>
              <w:contextualSpacing/>
              <w:rPr>
                <w:b/>
                <w:sz w:val="24"/>
                <w:szCs w:val="24"/>
              </w:rPr>
            </w:pPr>
            <w:r w:rsidRPr="00906F5F">
              <w:rPr>
                <w:b/>
                <w:sz w:val="24"/>
                <w:szCs w:val="24"/>
              </w:rPr>
              <w:t>Puan Aralığı (Hazırlık)</w:t>
            </w:r>
          </w:p>
        </w:tc>
        <w:tc>
          <w:tcPr>
            <w:tcW w:w="1440" w:type="dxa"/>
          </w:tcPr>
          <w:p w:rsidR="0086178C" w:rsidRPr="00906F5F" w:rsidRDefault="0086178C" w:rsidP="007C5610">
            <w:pPr>
              <w:contextualSpacing/>
              <w:rPr>
                <w:b/>
                <w:sz w:val="24"/>
                <w:szCs w:val="24"/>
              </w:rPr>
            </w:pPr>
            <w:r w:rsidRPr="00906F5F">
              <w:rPr>
                <w:b/>
                <w:sz w:val="24"/>
                <w:szCs w:val="24"/>
              </w:rPr>
              <w:t>OZD Denklik Puanı</w:t>
            </w:r>
          </w:p>
        </w:tc>
        <w:tc>
          <w:tcPr>
            <w:tcW w:w="1440" w:type="dxa"/>
          </w:tcPr>
          <w:p w:rsidR="0086178C" w:rsidRPr="00906F5F" w:rsidRDefault="0086178C" w:rsidP="007C5610">
            <w:pPr>
              <w:contextualSpacing/>
              <w:rPr>
                <w:b/>
                <w:sz w:val="24"/>
                <w:szCs w:val="24"/>
              </w:rPr>
            </w:pPr>
            <w:r w:rsidRPr="00906F5F">
              <w:rPr>
                <w:b/>
                <w:sz w:val="24"/>
                <w:szCs w:val="24"/>
              </w:rPr>
              <w:t>OZD Başarı Puanı</w:t>
            </w:r>
          </w:p>
        </w:tc>
      </w:tr>
      <w:tr w:rsidR="0086178C" w:rsidRPr="00906F5F" w:rsidTr="007C5610">
        <w:trPr>
          <w:trHeight w:val="358"/>
          <w:jc w:val="center"/>
        </w:trPr>
        <w:tc>
          <w:tcPr>
            <w:tcW w:w="1230" w:type="dxa"/>
          </w:tcPr>
          <w:p w:rsidR="0086178C" w:rsidRPr="00906F5F" w:rsidRDefault="0086178C" w:rsidP="007C5610">
            <w:pPr>
              <w:contextualSpacing/>
              <w:rPr>
                <w:sz w:val="24"/>
                <w:szCs w:val="24"/>
              </w:rPr>
            </w:pPr>
            <w:r w:rsidRPr="00906F5F">
              <w:rPr>
                <w:sz w:val="24"/>
                <w:szCs w:val="24"/>
              </w:rPr>
              <w:t>A1</w:t>
            </w:r>
          </w:p>
        </w:tc>
        <w:tc>
          <w:tcPr>
            <w:tcW w:w="1440" w:type="dxa"/>
          </w:tcPr>
          <w:p w:rsidR="0086178C" w:rsidRPr="00906F5F" w:rsidRDefault="0086178C" w:rsidP="007C5610">
            <w:pPr>
              <w:contextualSpacing/>
              <w:rPr>
                <w:sz w:val="24"/>
                <w:szCs w:val="24"/>
              </w:rPr>
            </w:pPr>
            <w:r w:rsidRPr="00906F5F">
              <w:rPr>
                <w:sz w:val="24"/>
                <w:szCs w:val="24"/>
              </w:rPr>
              <w:t>50 – 59</w:t>
            </w:r>
          </w:p>
        </w:tc>
        <w:tc>
          <w:tcPr>
            <w:tcW w:w="1440" w:type="dxa"/>
          </w:tcPr>
          <w:p w:rsidR="0086178C" w:rsidRPr="00906F5F" w:rsidRDefault="0086178C" w:rsidP="007C5610">
            <w:pPr>
              <w:contextualSpacing/>
              <w:rPr>
                <w:sz w:val="24"/>
                <w:szCs w:val="24"/>
              </w:rPr>
            </w:pPr>
            <w:r w:rsidRPr="00906F5F">
              <w:rPr>
                <w:sz w:val="24"/>
                <w:szCs w:val="24"/>
              </w:rPr>
              <w:t>64</w:t>
            </w:r>
          </w:p>
        </w:tc>
        <w:tc>
          <w:tcPr>
            <w:tcW w:w="1440" w:type="dxa"/>
          </w:tcPr>
          <w:p w:rsidR="0086178C" w:rsidRPr="00906F5F" w:rsidRDefault="0086178C" w:rsidP="007C5610">
            <w:pPr>
              <w:contextualSpacing/>
              <w:rPr>
                <w:sz w:val="24"/>
                <w:szCs w:val="24"/>
              </w:rPr>
            </w:pPr>
            <w:r w:rsidRPr="00906F5F">
              <w:rPr>
                <w:sz w:val="24"/>
                <w:szCs w:val="24"/>
              </w:rPr>
              <w:t>C2</w:t>
            </w:r>
          </w:p>
        </w:tc>
      </w:tr>
      <w:tr w:rsidR="0086178C" w:rsidRPr="00906F5F" w:rsidTr="007C5610">
        <w:trPr>
          <w:trHeight w:val="378"/>
          <w:jc w:val="center"/>
        </w:trPr>
        <w:tc>
          <w:tcPr>
            <w:tcW w:w="1230" w:type="dxa"/>
          </w:tcPr>
          <w:p w:rsidR="0086178C" w:rsidRPr="00906F5F" w:rsidRDefault="0086178C" w:rsidP="007C5610">
            <w:pPr>
              <w:contextualSpacing/>
              <w:rPr>
                <w:sz w:val="24"/>
                <w:szCs w:val="24"/>
              </w:rPr>
            </w:pPr>
            <w:r w:rsidRPr="00906F5F">
              <w:rPr>
                <w:sz w:val="24"/>
                <w:szCs w:val="24"/>
              </w:rPr>
              <w:t>A1</w:t>
            </w:r>
          </w:p>
        </w:tc>
        <w:tc>
          <w:tcPr>
            <w:tcW w:w="1440" w:type="dxa"/>
          </w:tcPr>
          <w:p w:rsidR="0086178C" w:rsidRPr="00906F5F" w:rsidRDefault="0086178C" w:rsidP="007C5610">
            <w:pPr>
              <w:contextualSpacing/>
              <w:rPr>
                <w:sz w:val="24"/>
                <w:szCs w:val="24"/>
              </w:rPr>
            </w:pPr>
            <w:r w:rsidRPr="00906F5F">
              <w:rPr>
                <w:sz w:val="24"/>
                <w:szCs w:val="24"/>
              </w:rPr>
              <w:t>60-64</w:t>
            </w:r>
          </w:p>
        </w:tc>
        <w:tc>
          <w:tcPr>
            <w:tcW w:w="1440" w:type="dxa"/>
          </w:tcPr>
          <w:p w:rsidR="0086178C" w:rsidRPr="00906F5F" w:rsidRDefault="0086178C" w:rsidP="007C5610">
            <w:pPr>
              <w:contextualSpacing/>
              <w:rPr>
                <w:sz w:val="24"/>
                <w:szCs w:val="24"/>
              </w:rPr>
            </w:pPr>
            <w:r w:rsidRPr="00906F5F">
              <w:rPr>
                <w:sz w:val="24"/>
                <w:szCs w:val="24"/>
              </w:rPr>
              <w:t>69</w:t>
            </w:r>
          </w:p>
        </w:tc>
        <w:tc>
          <w:tcPr>
            <w:tcW w:w="1440" w:type="dxa"/>
          </w:tcPr>
          <w:p w:rsidR="0086178C" w:rsidRPr="00906F5F" w:rsidRDefault="0086178C" w:rsidP="007C5610">
            <w:pPr>
              <w:contextualSpacing/>
              <w:rPr>
                <w:sz w:val="24"/>
                <w:szCs w:val="24"/>
              </w:rPr>
            </w:pPr>
            <w:r w:rsidRPr="00906F5F">
              <w:rPr>
                <w:sz w:val="24"/>
                <w:szCs w:val="24"/>
              </w:rPr>
              <w:t>C1</w:t>
            </w:r>
          </w:p>
        </w:tc>
      </w:tr>
      <w:tr w:rsidR="0086178C" w:rsidRPr="00906F5F" w:rsidTr="007C5610">
        <w:trPr>
          <w:trHeight w:val="359"/>
          <w:jc w:val="center"/>
        </w:trPr>
        <w:tc>
          <w:tcPr>
            <w:tcW w:w="1230" w:type="dxa"/>
          </w:tcPr>
          <w:p w:rsidR="0086178C" w:rsidRPr="00906F5F" w:rsidRDefault="0086178C" w:rsidP="007C5610">
            <w:pPr>
              <w:contextualSpacing/>
              <w:rPr>
                <w:sz w:val="24"/>
                <w:szCs w:val="24"/>
              </w:rPr>
            </w:pPr>
            <w:r w:rsidRPr="00906F5F">
              <w:rPr>
                <w:sz w:val="24"/>
                <w:szCs w:val="24"/>
              </w:rPr>
              <w:t>A1</w:t>
            </w:r>
          </w:p>
        </w:tc>
        <w:tc>
          <w:tcPr>
            <w:tcW w:w="1440" w:type="dxa"/>
          </w:tcPr>
          <w:p w:rsidR="0086178C" w:rsidRPr="00906F5F" w:rsidRDefault="0086178C" w:rsidP="007C5610">
            <w:pPr>
              <w:contextualSpacing/>
              <w:rPr>
                <w:sz w:val="24"/>
                <w:szCs w:val="24"/>
              </w:rPr>
            </w:pPr>
            <w:r w:rsidRPr="00906F5F">
              <w:rPr>
                <w:sz w:val="24"/>
                <w:szCs w:val="24"/>
              </w:rPr>
              <w:t>65-69</w:t>
            </w:r>
          </w:p>
        </w:tc>
        <w:tc>
          <w:tcPr>
            <w:tcW w:w="1440" w:type="dxa"/>
          </w:tcPr>
          <w:p w:rsidR="0086178C" w:rsidRPr="00906F5F" w:rsidRDefault="0086178C" w:rsidP="007C5610">
            <w:pPr>
              <w:contextualSpacing/>
              <w:rPr>
                <w:sz w:val="24"/>
                <w:szCs w:val="24"/>
              </w:rPr>
            </w:pPr>
            <w:r w:rsidRPr="00906F5F">
              <w:rPr>
                <w:sz w:val="24"/>
                <w:szCs w:val="24"/>
              </w:rPr>
              <w:t>74</w:t>
            </w:r>
          </w:p>
        </w:tc>
        <w:tc>
          <w:tcPr>
            <w:tcW w:w="1440" w:type="dxa"/>
          </w:tcPr>
          <w:p w:rsidR="0086178C" w:rsidRPr="00906F5F" w:rsidRDefault="0086178C" w:rsidP="007C5610">
            <w:pPr>
              <w:contextualSpacing/>
              <w:rPr>
                <w:sz w:val="24"/>
                <w:szCs w:val="24"/>
              </w:rPr>
            </w:pPr>
            <w:r w:rsidRPr="00906F5F">
              <w:rPr>
                <w:sz w:val="24"/>
                <w:szCs w:val="24"/>
              </w:rPr>
              <w:t>B2</w:t>
            </w:r>
          </w:p>
        </w:tc>
      </w:tr>
      <w:tr w:rsidR="0086178C" w:rsidRPr="00906F5F" w:rsidTr="007C5610">
        <w:trPr>
          <w:trHeight w:val="359"/>
          <w:jc w:val="center"/>
        </w:trPr>
        <w:tc>
          <w:tcPr>
            <w:tcW w:w="1230" w:type="dxa"/>
          </w:tcPr>
          <w:p w:rsidR="0086178C" w:rsidRPr="00906F5F" w:rsidRDefault="0086178C" w:rsidP="007C5610">
            <w:pPr>
              <w:contextualSpacing/>
              <w:rPr>
                <w:sz w:val="24"/>
                <w:szCs w:val="24"/>
              </w:rPr>
            </w:pPr>
            <w:r w:rsidRPr="00906F5F">
              <w:rPr>
                <w:sz w:val="24"/>
                <w:szCs w:val="24"/>
              </w:rPr>
              <w:t>A1</w:t>
            </w:r>
          </w:p>
        </w:tc>
        <w:tc>
          <w:tcPr>
            <w:tcW w:w="1440" w:type="dxa"/>
          </w:tcPr>
          <w:p w:rsidR="0086178C" w:rsidRPr="00906F5F" w:rsidRDefault="0086178C" w:rsidP="007C5610">
            <w:pPr>
              <w:contextualSpacing/>
              <w:rPr>
                <w:sz w:val="24"/>
                <w:szCs w:val="24"/>
              </w:rPr>
            </w:pPr>
            <w:r w:rsidRPr="00906F5F">
              <w:rPr>
                <w:sz w:val="24"/>
                <w:szCs w:val="24"/>
              </w:rPr>
              <w:t>70-74</w:t>
            </w:r>
          </w:p>
        </w:tc>
        <w:tc>
          <w:tcPr>
            <w:tcW w:w="1440" w:type="dxa"/>
          </w:tcPr>
          <w:p w:rsidR="0086178C" w:rsidRPr="00906F5F" w:rsidRDefault="0086178C" w:rsidP="007C5610">
            <w:pPr>
              <w:contextualSpacing/>
              <w:rPr>
                <w:sz w:val="24"/>
                <w:szCs w:val="24"/>
              </w:rPr>
            </w:pPr>
            <w:r w:rsidRPr="00906F5F">
              <w:rPr>
                <w:sz w:val="24"/>
                <w:szCs w:val="24"/>
              </w:rPr>
              <w:t>79</w:t>
            </w:r>
          </w:p>
        </w:tc>
        <w:tc>
          <w:tcPr>
            <w:tcW w:w="1440" w:type="dxa"/>
          </w:tcPr>
          <w:p w:rsidR="0086178C" w:rsidRPr="00906F5F" w:rsidRDefault="0086178C" w:rsidP="007C5610">
            <w:pPr>
              <w:contextualSpacing/>
              <w:rPr>
                <w:sz w:val="24"/>
                <w:szCs w:val="24"/>
              </w:rPr>
            </w:pPr>
            <w:r w:rsidRPr="00906F5F">
              <w:rPr>
                <w:sz w:val="24"/>
                <w:szCs w:val="24"/>
              </w:rPr>
              <w:t>B1</w:t>
            </w:r>
          </w:p>
        </w:tc>
      </w:tr>
      <w:tr w:rsidR="0086178C" w:rsidRPr="00906F5F" w:rsidTr="007C5610">
        <w:trPr>
          <w:trHeight w:val="359"/>
          <w:jc w:val="center"/>
        </w:trPr>
        <w:tc>
          <w:tcPr>
            <w:tcW w:w="1230" w:type="dxa"/>
          </w:tcPr>
          <w:p w:rsidR="0086178C" w:rsidRPr="00906F5F" w:rsidRDefault="0086178C" w:rsidP="007C5610">
            <w:pPr>
              <w:contextualSpacing/>
              <w:rPr>
                <w:sz w:val="24"/>
                <w:szCs w:val="24"/>
              </w:rPr>
            </w:pPr>
            <w:r w:rsidRPr="00906F5F">
              <w:rPr>
                <w:sz w:val="24"/>
                <w:szCs w:val="24"/>
              </w:rPr>
              <w:t>A1</w:t>
            </w:r>
          </w:p>
        </w:tc>
        <w:tc>
          <w:tcPr>
            <w:tcW w:w="1440" w:type="dxa"/>
          </w:tcPr>
          <w:p w:rsidR="0086178C" w:rsidRPr="00906F5F" w:rsidRDefault="0086178C" w:rsidP="007C5610">
            <w:pPr>
              <w:contextualSpacing/>
              <w:rPr>
                <w:sz w:val="24"/>
                <w:szCs w:val="24"/>
              </w:rPr>
            </w:pPr>
            <w:r w:rsidRPr="00906F5F">
              <w:rPr>
                <w:sz w:val="24"/>
                <w:szCs w:val="24"/>
              </w:rPr>
              <w:t>75-79</w:t>
            </w:r>
          </w:p>
        </w:tc>
        <w:tc>
          <w:tcPr>
            <w:tcW w:w="1440" w:type="dxa"/>
          </w:tcPr>
          <w:p w:rsidR="0086178C" w:rsidRPr="00906F5F" w:rsidRDefault="0086178C" w:rsidP="007C5610">
            <w:pPr>
              <w:contextualSpacing/>
              <w:rPr>
                <w:sz w:val="24"/>
                <w:szCs w:val="24"/>
              </w:rPr>
            </w:pPr>
            <w:r w:rsidRPr="00906F5F">
              <w:rPr>
                <w:sz w:val="24"/>
                <w:szCs w:val="24"/>
              </w:rPr>
              <w:t>85</w:t>
            </w:r>
          </w:p>
        </w:tc>
        <w:tc>
          <w:tcPr>
            <w:tcW w:w="1440" w:type="dxa"/>
          </w:tcPr>
          <w:p w:rsidR="0086178C" w:rsidRPr="00906F5F" w:rsidRDefault="0086178C" w:rsidP="007C5610">
            <w:pPr>
              <w:contextualSpacing/>
              <w:rPr>
                <w:sz w:val="24"/>
                <w:szCs w:val="24"/>
              </w:rPr>
            </w:pPr>
            <w:r w:rsidRPr="00906F5F">
              <w:rPr>
                <w:sz w:val="24"/>
                <w:szCs w:val="24"/>
              </w:rPr>
              <w:t>A2</w:t>
            </w:r>
          </w:p>
        </w:tc>
      </w:tr>
      <w:tr w:rsidR="0086178C" w:rsidRPr="00906F5F" w:rsidTr="007C5610">
        <w:trPr>
          <w:trHeight w:val="359"/>
          <w:jc w:val="center"/>
        </w:trPr>
        <w:tc>
          <w:tcPr>
            <w:tcW w:w="1230" w:type="dxa"/>
          </w:tcPr>
          <w:p w:rsidR="0086178C" w:rsidRPr="00906F5F" w:rsidRDefault="0086178C" w:rsidP="007C5610">
            <w:pPr>
              <w:contextualSpacing/>
              <w:rPr>
                <w:sz w:val="24"/>
                <w:szCs w:val="24"/>
              </w:rPr>
            </w:pPr>
            <w:r w:rsidRPr="00906F5F">
              <w:rPr>
                <w:sz w:val="24"/>
                <w:szCs w:val="24"/>
              </w:rPr>
              <w:t>A1</w:t>
            </w:r>
          </w:p>
        </w:tc>
        <w:tc>
          <w:tcPr>
            <w:tcW w:w="1440" w:type="dxa"/>
          </w:tcPr>
          <w:p w:rsidR="0086178C" w:rsidRPr="00906F5F" w:rsidRDefault="0086178C" w:rsidP="007C5610">
            <w:pPr>
              <w:contextualSpacing/>
              <w:rPr>
                <w:sz w:val="24"/>
                <w:szCs w:val="24"/>
              </w:rPr>
            </w:pPr>
            <w:r w:rsidRPr="00906F5F">
              <w:rPr>
                <w:sz w:val="24"/>
                <w:szCs w:val="24"/>
              </w:rPr>
              <w:t>80+</w:t>
            </w:r>
          </w:p>
        </w:tc>
        <w:tc>
          <w:tcPr>
            <w:tcW w:w="1440" w:type="dxa"/>
          </w:tcPr>
          <w:p w:rsidR="0086178C" w:rsidRPr="00906F5F" w:rsidRDefault="0086178C" w:rsidP="007C5610">
            <w:pPr>
              <w:contextualSpacing/>
              <w:rPr>
                <w:sz w:val="24"/>
                <w:szCs w:val="24"/>
              </w:rPr>
            </w:pPr>
            <w:r w:rsidRPr="00906F5F">
              <w:rPr>
                <w:sz w:val="24"/>
                <w:szCs w:val="24"/>
              </w:rPr>
              <w:t>100</w:t>
            </w:r>
          </w:p>
        </w:tc>
        <w:tc>
          <w:tcPr>
            <w:tcW w:w="1440" w:type="dxa"/>
          </w:tcPr>
          <w:p w:rsidR="0086178C" w:rsidRPr="00906F5F" w:rsidRDefault="0086178C" w:rsidP="007C5610">
            <w:pPr>
              <w:contextualSpacing/>
              <w:rPr>
                <w:sz w:val="24"/>
                <w:szCs w:val="24"/>
              </w:rPr>
            </w:pPr>
            <w:r w:rsidRPr="00906F5F">
              <w:rPr>
                <w:sz w:val="24"/>
                <w:szCs w:val="24"/>
              </w:rPr>
              <w:t>A1</w:t>
            </w:r>
          </w:p>
        </w:tc>
      </w:tr>
      <w:tr w:rsidR="0086178C" w:rsidRPr="00906F5F" w:rsidTr="007C5610">
        <w:trPr>
          <w:trHeight w:val="359"/>
          <w:jc w:val="center"/>
        </w:trPr>
        <w:tc>
          <w:tcPr>
            <w:tcW w:w="1230" w:type="dxa"/>
          </w:tcPr>
          <w:p w:rsidR="0086178C" w:rsidRPr="00906F5F" w:rsidRDefault="0086178C" w:rsidP="007C5610">
            <w:pPr>
              <w:contextualSpacing/>
              <w:rPr>
                <w:sz w:val="24"/>
                <w:szCs w:val="24"/>
              </w:rPr>
            </w:pPr>
            <w:r w:rsidRPr="00906F5F">
              <w:rPr>
                <w:sz w:val="24"/>
                <w:szCs w:val="24"/>
              </w:rPr>
              <w:t>A2</w:t>
            </w:r>
          </w:p>
        </w:tc>
        <w:tc>
          <w:tcPr>
            <w:tcW w:w="1440" w:type="dxa"/>
          </w:tcPr>
          <w:p w:rsidR="0086178C" w:rsidRPr="00906F5F" w:rsidRDefault="0086178C" w:rsidP="007C5610">
            <w:pPr>
              <w:contextualSpacing/>
              <w:rPr>
                <w:sz w:val="24"/>
                <w:szCs w:val="24"/>
              </w:rPr>
            </w:pPr>
            <w:r w:rsidRPr="00906F5F">
              <w:rPr>
                <w:sz w:val="24"/>
                <w:szCs w:val="24"/>
              </w:rPr>
              <w:t>70+</w:t>
            </w:r>
          </w:p>
        </w:tc>
        <w:tc>
          <w:tcPr>
            <w:tcW w:w="1440" w:type="dxa"/>
          </w:tcPr>
          <w:p w:rsidR="0086178C" w:rsidRPr="00906F5F" w:rsidRDefault="0086178C" w:rsidP="007C5610">
            <w:pPr>
              <w:contextualSpacing/>
              <w:rPr>
                <w:sz w:val="24"/>
                <w:szCs w:val="24"/>
              </w:rPr>
            </w:pPr>
            <w:r w:rsidRPr="00906F5F">
              <w:rPr>
                <w:sz w:val="24"/>
                <w:szCs w:val="24"/>
              </w:rPr>
              <w:t>100</w:t>
            </w:r>
          </w:p>
        </w:tc>
        <w:tc>
          <w:tcPr>
            <w:tcW w:w="1440" w:type="dxa"/>
          </w:tcPr>
          <w:p w:rsidR="0086178C" w:rsidRPr="00906F5F" w:rsidRDefault="0086178C" w:rsidP="007C5610">
            <w:pPr>
              <w:contextualSpacing/>
              <w:rPr>
                <w:sz w:val="24"/>
                <w:szCs w:val="24"/>
              </w:rPr>
            </w:pPr>
            <w:r w:rsidRPr="00906F5F">
              <w:rPr>
                <w:sz w:val="24"/>
                <w:szCs w:val="24"/>
              </w:rPr>
              <w:t>A1</w:t>
            </w:r>
          </w:p>
        </w:tc>
      </w:tr>
      <w:tr w:rsidR="0086178C" w:rsidRPr="00906F5F" w:rsidTr="007C5610">
        <w:trPr>
          <w:trHeight w:val="378"/>
          <w:jc w:val="center"/>
        </w:trPr>
        <w:tc>
          <w:tcPr>
            <w:tcW w:w="1230" w:type="dxa"/>
          </w:tcPr>
          <w:p w:rsidR="0086178C" w:rsidRPr="00906F5F" w:rsidRDefault="0086178C" w:rsidP="007C5610">
            <w:pPr>
              <w:contextualSpacing/>
              <w:rPr>
                <w:sz w:val="24"/>
                <w:szCs w:val="24"/>
              </w:rPr>
            </w:pPr>
            <w:r w:rsidRPr="00906F5F">
              <w:rPr>
                <w:sz w:val="24"/>
                <w:szCs w:val="24"/>
              </w:rPr>
              <w:t>B1</w:t>
            </w:r>
          </w:p>
        </w:tc>
        <w:tc>
          <w:tcPr>
            <w:tcW w:w="1440" w:type="dxa"/>
          </w:tcPr>
          <w:p w:rsidR="0086178C" w:rsidRPr="00906F5F" w:rsidRDefault="0086178C" w:rsidP="007C5610">
            <w:pPr>
              <w:contextualSpacing/>
              <w:rPr>
                <w:sz w:val="24"/>
                <w:szCs w:val="24"/>
              </w:rPr>
            </w:pPr>
            <w:r w:rsidRPr="00906F5F">
              <w:rPr>
                <w:sz w:val="24"/>
                <w:szCs w:val="24"/>
              </w:rPr>
              <w:t>70+</w:t>
            </w:r>
          </w:p>
        </w:tc>
        <w:tc>
          <w:tcPr>
            <w:tcW w:w="1440" w:type="dxa"/>
          </w:tcPr>
          <w:p w:rsidR="0086178C" w:rsidRPr="00906F5F" w:rsidRDefault="0086178C" w:rsidP="007C5610">
            <w:pPr>
              <w:contextualSpacing/>
              <w:rPr>
                <w:sz w:val="24"/>
                <w:szCs w:val="24"/>
              </w:rPr>
            </w:pPr>
            <w:r w:rsidRPr="00906F5F">
              <w:rPr>
                <w:sz w:val="24"/>
                <w:szCs w:val="24"/>
              </w:rPr>
              <w:t>100</w:t>
            </w:r>
          </w:p>
        </w:tc>
        <w:tc>
          <w:tcPr>
            <w:tcW w:w="1440" w:type="dxa"/>
          </w:tcPr>
          <w:p w:rsidR="0086178C" w:rsidRPr="00906F5F" w:rsidRDefault="0086178C" w:rsidP="007C5610">
            <w:pPr>
              <w:contextualSpacing/>
              <w:rPr>
                <w:sz w:val="24"/>
                <w:szCs w:val="24"/>
              </w:rPr>
            </w:pPr>
            <w:r w:rsidRPr="00906F5F">
              <w:rPr>
                <w:sz w:val="24"/>
                <w:szCs w:val="24"/>
              </w:rPr>
              <w:t>A1</w:t>
            </w:r>
          </w:p>
        </w:tc>
      </w:tr>
      <w:tr w:rsidR="0086178C" w:rsidRPr="00906F5F" w:rsidTr="007C5610">
        <w:trPr>
          <w:trHeight w:val="378"/>
          <w:jc w:val="center"/>
        </w:trPr>
        <w:tc>
          <w:tcPr>
            <w:tcW w:w="1230" w:type="dxa"/>
          </w:tcPr>
          <w:p w:rsidR="0086178C" w:rsidRPr="00906F5F" w:rsidRDefault="0086178C" w:rsidP="007C5610">
            <w:pPr>
              <w:contextualSpacing/>
              <w:rPr>
                <w:sz w:val="24"/>
                <w:szCs w:val="24"/>
              </w:rPr>
            </w:pPr>
            <w:r w:rsidRPr="00906F5F">
              <w:rPr>
                <w:sz w:val="24"/>
                <w:szCs w:val="24"/>
              </w:rPr>
              <w:t>B2</w:t>
            </w:r>
          </w:p>
        </w:tc>
        <w:tc>
          <w:tcPr>
            <w:tcW w:w="1440" w:type="dxa"/>
          </w:tcPr>
          <w:p w:rsidR="0086178C" w:rsidRPr="00906F5F" w:rsidRDefault="0086178C" w:rsidP="007C5610">
            <w:pPr>
              <w:contextualSpacing/>
              <w:rPr>
                <w:sz w:val="24"/>
                <w:szCs w:val="24"/>
              </w:rPr>
            </w:pPr>
            <w:r w:rsidRPr="00906F5F">
              <w:rPr>
                <w:sz w:val="24"/>
                <w:szCs w:val="24"/>
              </w:rPr>
              <w:t>70+</w:t>
            </w:r>
          </w:p>
        </w:tc>
        <w:tc>
          <w:tcPr>
            <w:tcW w:w="1440" w:type="dxa"/>
          </w:tcPr>
          <w:p w:rsidR="0086178C" w:rsidRPr="00906F5F" w:rsidRDefault="0086178C" w:rsidP="007C5610">
            <w:pPr>
              <w:contextualSpacing/>
              <w:rPr>
                <w:sz w:val="24"/>
                <w:szCs w:val="24"/>
              </w:rPr>
            </w:pPr>
            <w:r w:rsidRPr="00906F5F">
              <w:rPr>
                <w:sz w:val="24"/>
                <w:szCs w:val="24"/>
              </w:rPr>
              <w:t>100</w:t>
            </w:r>
          </w:p>
        </w:tc>
        <w:tc>
          <w:tcPr>
            <w:tcW w:w="1440" w:type="dxa"/>
          </w:tcPr>
          <w:p w:rsidR="0086178C" w:rsidRPr="00906F5F" w:rsidRDefault="0086178C" w:rsidP="007C5610">
            <w:pPr>
              <w:contextualSpacing/>
              <w:rPr>
                <w:sz w:val="24"/>
                <w:szCs w:val="24"/>
              </w:rPr>
            </w:pPr>
            <w:r w:rsidRPr="00906F5F">
              <w:rPr>
                <w:sz w:val="24"/>
                <w:szCs w:val="24"/>
              </w:rPr>
              <w:t>A1</w:t>
            </w:r>
          </w:p>
        </w:tc>
      </w:tr>
    </w:tbl>
    <w:p w:rsidR="00FB4822" w:rsidRPr="00906F5F" w:rsidRDefault="00FB4822" w:rsidP="007C5610">
      <w:pPr>
        <w:spacing w:before="100" w:beforeAutospacing="1" w:after="100" w:afterAutospacing="1"/>
        <w:ind w:firstLine="567"/>
        <w:contextualSpacing/>
        <w:jc w:val="both"/>
        <w:rPr>
          <w:sz w:val="24"/>
          <w:szCs w:val="24"/>
        </w:rPr>
      </w:pPr>
    </w:p>
    <w:p w:rsidR="00C71882" w:rsidRPr="00906F5F" w:rsidRDefault="00C71882" w:rsidP="007C5610">
      <w:pPr>
        <w:spacing w:before="100" w:beforeAutospacing="1" w:after="100" w:afterAutospacing="1"/>
        <w:ind w:firstLine="567"/>
        <w:contextualSpacing/>
        <w:jc w:val="both"/>
        <w:rPr>
          <w:sz w:val="24"/>
          <w:szCs w:val="24"/>
        </w:rPr>
      </w:pPr>
      <w:r w:rsidRPr="00906F5F">
        <w:rPr>
          <w:b/>
          <w:bCs/>
          <w:sz w:val="24"/>
          <w:szCs w:val="24"/>
        </w:rPr>
        <w:t>Başarılı öğrenciler</w:t>
      </w:r>
    </w:p>
    <w:p w:rsidR="00C71882" w:rsidRPr="00906F5F" w:rsidRDefault="00C71882" w:rsidP="007C5610">
      <w:pPr>
        <w:spacing w:before="100" w:beforeAutospacing="1" w:after="100" w:afterAutospacing="1"/>
        <w:ind w:firstLine="567"/>
        <w:contextualSpacing/>
        <w:jc w:val="both"/>
        <w:rPr>
          <w:sz w:val="24"/>
          <w:szCs w:val="24"/>
        </w:rPr>
      </w:pPr>
      <w:r w:rsidRPr="00906F5F">
        <w:rPr>
          <w:b/>
          <w:bCs/>
          <w:sz w:val="24"/>
          <w:szCs w:val="24"/>
        </w:rPr>
        <w:t>MADDE 14 –</w:t>
      </w:r>
      <w:r w:rsidRPr="00906F5F">
        <w:rPr>
          <w:sz w:val="24"/>
          <w:szCs w:val="24"/>
        </w:rPr>
        <w:t xml:space="preserve">Öğrencinin başarılı sayılabilmesi için, </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t xml:space="preserve">(1) İngilizce hazırlık programı için B2, Fransızca hazırlık programı için B1 </w:t>
      </w:r>
      <w:r w:rsidR="00D66D01">
        <w:rPr>
          <w:sz w:val="24"/>
          <w:szCs w:val="24"/>
        </w:rPr>
        <w:t>düzeyini</w:t>
      </w:r>
      <w:r w:rsidRPr="00906F5F">
        <w:rPr>
          <w:sz w:val="24"/>
          <w:szCs w:val="24"/>
        </w:rPr>
        <w:t xml:space="preserve"> başarıyla tamamlaması,</w:t>
      </w:r>
    </w:p>
    <w:p w:rsidR="00C71882" w:rsidRDefault="00C71882" w:rsidP="007C5610">
      <w:pPr>
        <w:spacing w:before="100" w:beforeAutospacing="1" w:after="100" w:afterAutospacing="1"/>
        <w:ind w:firstLine="567"/>
        <w:contextualSpacing/>
        <w:jc w:val="both"/>
        <w:rPr>
          <w:sz w:val="24"/>
          <w:szCs w:val="24"/>
        </w:rPr>
      </w:pPr>
      <w:r w:rsidRPr="00906F5F">
        <w:rPr>
          <w:sz w:val="24"/>
          <w:szCs w:val="24"/>
        </w:rPr>
        <w:t xml:space="preserve"> (2) Yeterlik sınavından en az </w:t>
      </w:r>
      <w:r w:rsidR="00C21D19" w:rsidRPr="00906F5F">
        <w:rPr>
          <w:sz w:val="24"/>
          <w:szCs w:val="24"/>
        </w:rPr>
        <w:t xml:space="preserve">100 tam puan üzerinden 70 puan alarak </w:t>
      </w:r>
      <w:r w:rsidRPr="00906F5F">
        <w:rPr>
          <w:sz w:val="24"/>
          <w:szCs w:val="24"/>
        </w:rPr>
        <w:t xml:space="preserve">başarı göstermesi gerekir. </w:t>
      </w:r>
    </w:p>
    <w:p w:rsidR="007C5610" w:rsidRDefault="007C5610" w:rsidP="007C5610">
      <w:pPr>
        <w:spacing w:before="100" w:beforeAutospacing="1" w:after="100" w:afterAutospacing="1"/>
        <w:ind w:firstLine="567"/>
        <w:contextualSpacing/>
        <w:jc w:val="both"/>
        <w:rPr>
          <w:sz w:val="24"/>
          <w:szCs w:val="24"/>
        </w:rPr>
      </w:pPr>
    </w:p>
    <w:p w:rsidR="007C5610" w:rsidRDefault="007C5610" w:rsidP="007C5610">
      <w:pPr>
        <w:spacing w:before="100" w:beforeAutospacing="1" w:after="100" w:afterAutospacing="1"/>
        <w:ind w:firstLine="567"/>
        <w:contextualSpacing/>
        <w:jc w:val="both"/>
        <w:rPr>
          <w:sz w:val="24"/>
          <w:szCs w:val="24"/>
        </w:rPr>
      </w:pPr>
    </w:p>
    <w:p w:rsidR="007C5610" w:rsidRDefault="007C5610" w:rsidP="007C5610">
      <w:pPr>
        <w:spacing w:before="100" w:beforeAutospacing="1" w:after="100" w:afterAutospacing="1"/>
        <w:ind w:firstLine="567"/>
        <w:contextualSpacing/>
        <w:jc w:val="both"/>
        <w:rPr>
          <w:sz w:val="24"/>
          <w:szCs w:val="24"/>
        </w:rPr>
      </w:pPr>
    </w:p>
    <w:p w:rsidR="007C5610" w:rsidRPr="00906F5F" w:rsidRDefault="007C5610" w:rsidP="007C5610">
      <w:pPr>
        <w:spacing w:before="100" w:beforeAutospacing="1" w:after="100" w:afterAutospacing="1"/>
        <w:ind w:firstLine="567"/>
        <w:contextualSpacing/>
        <w:jc w:val="both"/>
        <w:rPr>
          <w:sz w:val="24"/>
          <w:szCs w:val="24"/>
        </w:rPr>
      </w:pPr>
    </w:p>
    <w:p w:rsidR="00C71882" w:rsidRPr="00906F5F" w:rsidRDefault="00C71882" w:rsidP="007C5610">
      <w:pPr>
        <w:spacing w:before="100" w:beforeAutospacing="1" w:after="100" w:afterAutospacing="1"/>
        <w:ind w:firstLine="567"/>
        <w:contextualSpacing/>
        <w:jc w:val="both"/>
        <w:rPr>
          <w:sz w:val="24"/>
          <w:szCs w:val="24"/>
        </w:rPr>
      </w:pPr>
      <w:r w:rsidRPr="00906F5F">
        <w:rPr>
          <w:b/>
          <w:bCs/>
          <w:sz w:val="24"/>
          <w:szCs w:val="24"/>
        </w:rPr>
        <w:lastRenderedPageBreak/>
        <w:t>Başarısız öğrenciler</w:t>
      </w:r>
    </w:p>
    <w:p w:rsidR="00C71882" w:rsidRPr="00906F5F" w:rsidRDefault="00C71882" w:rsidP="007C5610">
      <w:pPr>
        <w:spacing w:before="100" w:beforeAutospacing="1" w:after="100" w:afterAutospacing="1"/>
        <w:ind w:firstLine="567"/>
        <w:contextualSpacing/>
        <w:jc w:val="both"/>
        <w:rPr>
          <w:sz w:val="24"/>
          <w:szCs w:val="24"/>
        </w:rPr>
      </w:pPr>
      <w:r w:rsidRPr="00906F5F">
        <w:rPr>
          <w:b/>
          <w:bCs/>
          <w:sz w:val="24"/>
          <w:szCs w:val="24"/>
        </w:rPr>
        <w:t>MADDE 15 –</w:t>
      </w:r>
      <w:r w:rsidRPr="00906F5F">
        <w:rPr>
          <w:sz w:val="24"/>
          <w:szCs w:val="24"/>
        </w:rPr>
        <w:t xml:space="preserve"> (1) Yabancı dil hazırlık programında başarısız olan öğrenciler hakkında; 2547 sayılı Kanun ile Yükseköğretim Kurumlarında Yabancı Dil Öğretimi ve Yabancı Dille Öğretim Yapılmasında Uyulacak Esaslara İlişkin Yönetmelik hükümleri uygulanır. </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t xml:space="preserve">(2) Yılsonunda başarılı olamayan yabancı dil hazırlık sınıfı öğrencileri bir sonraki eğitim-öğretim yılı başında verilecek yeterlik sınavına Üniversiteye kayıt yaptıran yeni öğrencilerle birlikte girebilir. </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t>(3) Yabancı dille eğitim-öğretim yapan programlar ile kısmen yabancı dille eğitim-öğretim yapan programlarda, yabancı dil hazırlık programına devam ettikleri ilk yılın sonunda gereken koşulları yerine getiremediği için başarısız olan öğrenciler bir sonraki yeterlik sınavına katılır ve/veya yabancı dil hazırlık programını tekrarlar. Yabancı dille eğitim-öğretim yapan program öğrencileri ile kısmen yabancı dille eğitim-öğretim yapan program öğrencileri yeterlik sınavında veya yabancı dil hazırlık programında başarılı olmadan ilgili programa başlayamaz.</w:t>
      </w:r>
    </w:p>
    <w:p w:rsidR="00C71882" w:rsidRPr="00906F5F" w:rsidRDefault="00C71882" w:rsidP="007C5610">
      <w:pPr>
        <w:spacing w:before="100" w:beforeAutospacing="1" w:after="100" w:afterAutospacing="1"/>
        <w:ind w:firstLine="567"/>
        <w:contextualSpacing/>
        <w:jc w:val="both"/>
        <w:rPr>
          <w:sz w:val="24"/>
          <w:szCs w:val="24"/>
        </w:rPr>
      </w:pPr>
      <w:r w:rsidRPr="00906F5F">
        <w:rPr>
          <w:sz w:val="24"/>
          <w:szCs w:val="24"/>
        </w:rPr>
        <w:t>(4) Öğretim dili tamamen veya kısmen yabancı dil olan programlara kayıt yaptıran öğrencilerin ilk yılın sonunda yabancı dil hazırlık sınıfını başarı ile tamamlayamamaları halinde, öğrenciler isterlerse, öğretim dili Türkçe olan eşdeğer bir programa geçmek için dilekçe ile bağlı bulunduğu Fakülte/Yüksekokul</w:t>
      </w:r>
      <w:r w:rsidR="00B77663" w:rsidRPr="00906F5F">
        <w:rPr>
          <w:sz w:val="24"/>
          <w:szCs w:val="24"/>
        </w:rPr>
        <w:t>un</w:t>
      </w:r>
      <w:r w:rsidRPr="00906F5F">
        <w:rPr>
          <w:sz w:val="24"/>
          <w:szCs w:val="24"/>
        </w:rPr>
        <w:t xml:space="preserve"> ilgili birimine başvuru yapabilirler. </w:t>
      </w:r>
      <w:r w:rsidR="00B77663" w:rsidRPr="00906F5F">
        <w:rPr>
          <w:sz w:val="24"/>
          <w:szCs w:val="24"/>
        </w:rPr>
        <w:t>Y</w:t>
      </w:r>
      <w:r w:rsidRPr="00906F5F">
        <w:rPr>
          <w:sz w:val="24"/>
          <w:szCs w:val="24"/>
        </w:rPr>
        <w:t xml:space="preserve">abancı dil hazırlık sınıfını iki yıl içinde başarı ile tamamlayamayan öğrencilerin ise programdan ilişiği kesilir. Öğretim dili tamamen veya kısmen yabancı dil olan programların yabancı dil hazırlık sınıfından ilişiği kesilen öğrenciler Üniversitemizde öğretim dili Türkçe olan eşdeğer bir programa kayıt yaptırabilirler. </w:t>
      </w:r>
      <w:proofErr w:type="gramStart"/>
      <w:r w:rsidRPr="00906F5F">
        <w:rPr>
          <w:sz w:val="24"/>
          <w:szCs w:val="24"/>
        </w:rPr>
        <w:t>Ayrıca bu öğrenciler, Üniversitemizde eşdeğer program bulunmaması hâlinde talep etmeleri durumunda Ölçme, Seçme ve Yerleştirme Merkezi Başkanlığı tarafından bir defaya mahsus olmak üzere kayıt yaptırdığı yıl itibarıyla, öğrencinin üniversiteye giriş puanının, yerleştirileceği programa kayıt yaptırmak için aranan taban puanından düşük olmaması şartıyla öğretim dili Türkçe olan programlardan birine merkezî olarak yerleştirilebilirler.</w:t>
      </w:r>
      <w:proofErr w:type="gramEnd"/>
    </w:p>
    <w:p w:rsidR="00C71882" w:rsidRDefault="00C71882" w:rsidP="007C5610">
      <w:pPr>
        <w:spacing w:before="100" w:beforeAutospacing="1" w:after="100" w:afterAutospacing="1"/>
        <w:ind w:firstLine="567"/>
        <w:contextualSpacing/>
        <w:jc w:val="both"/>
        <w:rPr>
          <w:sz w:val="24"/>
          <w:szCs w:val="24"/>
        </w:rPr>
      </w:pPr>
      <w:r w:rsidRPr="00906F5F">
        <w:rPr>
          <w:sz w:val="24"/>
          <w:szCs w:val="24"/>
        </w:rPr>
        <w:t xml:space="preserve">(5) Yabancı dil hazırlık sınıfının ikinci yarıyılı sonunda başarılı olamayan öğrenci, ilave bir veya iki yarıyıl daha yabancı dil hazırlık sınıfına devam ederek ya da yabancı dil bilgisini kendi </w:t>
      </w:r>
      <w:proofErr w:type="gramStart"/>
      <w:r w:rsidRPr="00906F5F">
        <w:rPr>
          <w:sz w:val="24"/>
          <w:szCs w:val="24"/>
        </w:rPr>
        <w:t>imkanlarıyla</w:t>
      </w:r>
      <w:proofErr w:type="gramEnd"/>
      <w:r w:rsidRPr="00906F5F">
        <w:rPr>
          <w:sz w:val="24"/>
          <w:szCs w:val="24"/>
        </w:rPr>
        <w:t xml:space="preserve"> geliştirerek, yarıyıl sonunda yapılan yabancı dil sınavında başarılı olduğu takdirde, girmeye hak kazandığı yabancı dille verilen ön lisans ve lisans programına devam edebilir.</w:t>
      </w:r>
    </w:p>
    <w:p w:rsidR="007C5610" w:rsidRPr="00906F5F" w:rsidRDefault="007C5610" w:rsidP="007C5610">
      <w:pPr>
        <w:spacing w:before="100" w:beforeAutospacing="1" w:after="100" w:afterAutospacing="1"/>
        <w:ind w:firstLine="567"/>
        <w:contextualSpacing/>
        <w:jc w:val="both"/>
        <w:rPr>
          <w:sz w:val="24"/>
          <w:szCs w:val="24"/>
        </w:rPr>
      </w:pPr>
    </w:p>
    <w:p w:rsidR="00C71882" w:rsidRPr="00906F5F" w:rsidRDefault="00C71882" w:rsidP="007C5610">
      <w:pPr>
        <w:spacing w:before="100" w:beforeAutospacing="1" w:after="100" w:afterAutospacing="1"/>
        <w:ind w:firstLine="567"/>
        <w:contextualSpacing/>
        <w:jc w:val="center"/>
        <w:rPr>
          <w:sz w:val="24"/>
          <w:szCs w:val="24"/>
        </w:rPr>
      </w:pPr>
      <w:r w:rsidRPr="00906F5F">
        <w:rPr>
          <w:b/>
          <w:bCs/>
          <w:sz w:val="24"/>
          <w:szCs w:val="24"/>
        </w:rPr>
        <w:t>ÜÇÜNCÜ BÖLÜM</w:t>
      </w:r>
    </w:p>
    <w:p w:rsidR="007C5610" w:rsidRPr="00906F5F" w:rsidRDefault="00C71882" w:rsidP="007C5610">
      <w:pPr>
        <w:spacing w:before="100" w:beforeAutospacing="1" w:after="100" w:afterAutospacing="1"/>
        <w:ind w:firstLine="567"/>
        <w:contextualSpacing/>
        <w:jc w:val="center"/>
        <w:rPr>
          <w:sz w:val="24"/>
          <w:szCs w:val="24"/>
        </w:rPr>
      </w:pPr>
      <w:r w:rsidRPr="00906F5F">
        <w:rPr>
          <w:b/>
          <w:bCs/>
          <w:sz w:val="24"/>
          <w:szCs w:val="24"/>
        </w:rPr>
        <w:t>Çeşitli ve Son Hükümler</w:t>
      </w:r>
    </w:p>
    <w:p w:rsidR="00C71882" w:rsidRPr="00906F5F" w:rsidRDefault="00C71882" w:rsidP="007C5610">
      <w:pPr>
        <w:spacing w:before="100" w:beforeAutospacing="1" w:after="100" w:afterAutospacing="1"/>
        <w:ind w:firstLine="567"/>
        <w:contextualSpacing/>
        <w:jc w:val="both"/>
        <w:rPr>
          <w:sz w:val="24"/>
          <w:szCs w:val="24"/>
        </w:rPr>
      </w:pPr>
      <w:r w:rsidRPr="00906F5F">
        <w:rPr>
          <w:b/>
          <w:sz w:val="24"/>
          <w:szCs w:val="24"/>
        </w:rPr>
        <w:t>Yönergede</w:t>
      </w:r>
      <w:r w:rsidRPr="00906F5F">
        <w:rPr>
          <w:b/>
          <w:bCs/>
          <w:sz w:val="24"/>
          <w:szCs w:val="24"/>
        </w:rPr>
        <w:t xml:space="preserve"> hüküm bulunmayan haller</w:t>
      </w:r>
    </w:p>
    <w:p w:rsidR="00C71882" w:rsidRDefault="00C71882" w:rsidP="007C5610">
      <w:pPr>
        <w:spacing w:before="100" w:beforeAutospacing="1" w:after="100" w:afterAutospacing="1"/>
        <w:ind w:firstLine="567"/>
        <w:contextualSpacing/>
        <w:jc w:val="both"/>
        <w:rPr>
          <w:sz w:val="24"/>
          <w:szCs w:val="24"/>
        </w:rPr>
      </w:pPr>
      <w:r w:rsidRPr="00906F5F">
        <w:rPr>
          <w:b/>
          <w:bCs/>
          <w:sz w:val="24"/>
          <w:szCs w:val="24"/>
        </w:rPr>
        <w:t>MADDE 16 –</w:t>
      </w:r>
      <w:r w:rsidRPr="00906F5F">
        <w:rPr>
          <w:sz w:val="24"/>
          <w:szCs w:val="24"/>
        </w:rPr>
        <w:t xml:space="preserve"> (1) Bu Yönergede hüküm bulunmayan hallerde; </w:t>
      </w:r>
      <w:r w:rsidRPr="00906F5F">
        <w:rPr>
          <w:bCs/>
          <w:sz w:val="24"/>
          <w:szCs w:val="24"/>
        </w:rPr>
        <w:t xml:space="preserve">Pamukkale Üniversitesi Yabancı Diller Yüksekokulu Ön Lisans </w:t>
      </w:r>
      <w:r w:rsidR="0040507A">
        <w:rPr>
          <w:bCs/>
          <w:sz w:val="24"/>
          <w:szCs w:val="24"/>
        </w:rPr>
        <w:t>v</w:t>
      </w:r>
      <w:r w:rsidRPr="00906F5F">
        <w:rPr>
          <w:bCs/>
          <w:sz w:val="24"/>
          <w:szCs w:val="24"/>
        </w:rPr>
        <w:t xml:space="preserve">e Lisans Yabancı Dil Hazırlık </w:t>
      </w:r>
      <w:r w:rsidR="0040507A">
        <w:rPr>
          <w:bCs/>
          <w:sz w:val="24"/>
          <w:szCs w:val="24"/>
        </w:rPr>
        <w:t>ve Yabancı Dil Eğitim v</w:t>
      </w:r>
      <w:r w:rsidRPr="00906F5F">
        <w:rPr>
          <w:bCs/>
          <w:sz w:val="24"/>
          <w:szCs w:val="24"/>
        </w:rPr>
        <w:t xml:space="preserve">e Öğretim Yönetmeliği, </w:t>
      </w:r>
      <w:r w:rsidRPr="00906F5F">
        <w:rPr>
          <w:sz w:val="24"/>
          <w:szCs w:val="24"/>
        </w:rPr>
        <w:t xml:space="preserve">Pamukkale Üniversitesi Ön lisans </w:t>
      </w:r>
      <w:r w:rsidR="002F7F52" w:rsidRPr="00906F5F">
        <w:rPr>
          <w:sz w:val="24"/>
          <w:szCs w:val="24"/>
        </w:rPr>
        <w:t xml:space="preserve">ve Lisans </w:t>
      </w:r>
      <w:r w:rsidRPr="00906F5F">
        <w:rPr>
          <w:sz w:val="24"/>
          <w:szCs w:val="24"/>
        </w:rPr>
        <w:t>Eğitim-Öğretim Yönetm</w:t>
      </w:r>
      <w:r w:rsidR="002F7F52" w:rsidRPr="00906F5F">
        <w:rPr>
          <w:sz w:val="24"/>
          <w:szCs w:val="24"/>
        </w:rPr>
        <w:t>eliği</w:t>
      </w:r>
      <w:r w:rsidRPr="00906F5F">
        <w:rPr>
          <w:sz w:val="24"/>
          <w:szCs w:val="24"/>
        </w:rPr>
        <w:t xml:space="preserve"> hükümleri ile Yükseköğretim Kurulu ve Senato kararları uygulanır.</w:t>
      </w:r>
    </w:p>
    <w:p w:rsidR="007C5610" w:rsidRPr="00906F5F" w:rsidRDefault="007C5610" w:rsidP="007C5610">
      <w:pPr>
        <w:spacing w:before="100" w:beforeAutospacing="1" w:after="100" w:afterAutospacing="1"/>
        <w:ind w:firstLine="567"/>
        <w:contextualSpacing/>
        <w:jc w:val="both"/>
        <w:rPr>
          <w:sz w:val="24"/>
          <w:szCs w:val="24"/>
        </w:rPr>
      </w:pPr>
    </w:p>
    <w:p w:rsidR="00476B28" w:rsidRPr="00906F5F" w:rsidRDefault="00476B28" w:rsidP="007C5610">
      <w:pPr>
        <w:spacing w:before="100" w:beforeAutospacing="1" w:after="100" w:afterAutospacing="1"/>
        <w:ind w:firstLine="567"/>
        <w:contextualSpacing/>
        <w:jc w:val="both"/>
        <w:rPr>
          <w:b/>
          <w:sz w:val="24"/>
          <w:szCs w:val="24"/>
        </w:rPr>
      </w:pPr>
      <w:r w:rsidRPr="00906F5F">
        <w:rPr>
          <w:b/>
          <w:sz w:val="24"/>
          <w:szCs w:val="24"/>
        </w:rPr>
        <w:t>Yürürlükten kaldırma</w:t>
      </w:r>
    </w:p>
    <w:p w:rsidR="00476B28" w:rsidRDefault="00476B28" w:rsidP="007C5610">
      <w:pPr>
        <w:spacing w:before="100" w:beforeAutospacing="1" w:after="100" w:afterAutospacing="1"/>
        <w:ind w:firstLine="567"/>
        <w:contextualSpacing/>
        <w:jc w:val="both"/>
        <w:rPr>
          <w:sz w:val="24"/>
          <w:szCs w:val="24"/>
        </w:rPr>
      </w:pPr>
      <w:r w:rsidRPr="00906F5F">
        <w:rPr>
          <w:b/>
          <w:sz w:val="24"/>
          <w:szCs w:val="24"/>
        </w:rPr>
        <w:t>MADDE 17- (1)</w:t>
      </w:r>
      <w:r w:rsidRPr="00906F5F">
        <w:rPr>
          <w:sz w:val="24"/>
          <w:szCs w:val="24"/>
        </w:rPr>
        <w:t xml:space="preserve">  Üniversite Senatosunun </w:t>
      </w:r>
      <w:r w:rsidR="000553AF" w:rsidRPr="00906F5F">
        <w:rPr>
          <w:sz w:val="24"/>
          <w:szCs w:val="24"/>
        </w:rPr>
        <w:t>21.08.2015 tarih ve 09/ 1-b sayılı kararıyla</w:t>
      </w:r>
      <w:r w:rsidRPr="00906F5F">
        <w:rPr>
          <w:sz w:val="24"/>
          <w:szCs w:val="24"/>
        </w:rPr>
        <w:t xml:space="preserve"> yürürlüğe giren Pamukkale Üniversitesi Yabancı Diller Yüksekokulu Ön Lisans ve Lisans Yabancı Dil İngilizce Hazırlık Eğitim </w:t>
      </w:r>
      <w:r w:rsidR="00C677B0" w:rsidRPr="00906F5F">
        <w:rPr>
          <w:sz w:val="24"/>
          <w:szCs w:val="24"/>
        </w:rPr>
        <w:t>v</w:t>
      </w:r>
      <w:r w:rsidRPr="00906F5F">
        <w:rPr>
          <w:sz w:val="24"/>
          <w:szCs w:val="24"/>
        </w:rPr>
        <w:t>e Öğretim Yönergesi yürürlükten kaldırılmıştır.</w:t>
      </w:r>
    </w:p>
    <w:p w:rsidR="007C5610" w:rsidRPr="00906F5F" w:rsidRDefault="007C5610" w:rsidP="007C5610">
      <w:pPr>
        <w:spacing w:before="100" w:beforeAutospacing="1" w:after="100" w:afterAutospacing="1"/>
        <w:ind w:firstLine="567"/>
        <w:contextualSpacing/>
        <w:jc w:val="both"/>
        <w:rPr>
          <w:sz w:val="24"/>
          <w:szCs w:val="24"/>
        </w:rPr>
      </w:pPr>
    </w:p>
    <w:p w:rsidR="00C71882" w:rsidRPr="00906F5F" w:rsidRDefault="00C71882" w:rsidP="007C5610">
      <w:pPr>
        <w:spacing w:before="100" w:beforeAutospacing="1" w:after="100" w:afterAutospacing="1"/>
        <w:ind w:firstLine="567"/>
        <w:contextualSpacing/>
        <w:jc w:val="both"/>
        <w:rPr>
          <w:sz w:val="24"/>
          <w:szCs w:val="24"/>
        </w:rPr>
      </w:pPr>
      <w:r w:rsidRPr="00906F5F">
        <w:rPr>
          <w:b/>
          <w:bCs/>
          <w:sz w:val="24"/>
          <w:szCs w:val="24"/>
        </w:rPr>
        <w:t>Yürürlük</w:t>
      </w:r>
    </w:p>
    <w:p w:rsidR="00C71882" w:rsidRDefault="00C71882" w:rsidP="007C5610">
      <w:pPr>
        <w:spacing w:before="100" w:beforeAutospacing="1" w:after="100" w:afterAutospacing="1"/>
        <w:ind w:firstLine="567"/>
        <w:contextualSpacing/>
        <w:jc w:val="both"/>
        <w:rPr>
          <w:sz w:val="24"/>
          <w:szCs w:val="24"/>
        </w:rPr>
      </w:pPr>
      <w:r w:rsidRPr="00906F5F">
        <w:rPr>
          <w:b/>
          <w:bCs/>
          <w:sz w:val="24"/>
          <w:szCs w:val="24"/>
        </w:rPr>
        <w:t>MADDE 1</w:t>
      </w:r>
      <w:r w:rsidR="00476B28" w:rsidRPr="00906F5F">
        <w:rPr>
          <w:b/>
          <w:bCs/>
          <w:sz w:val="24"/>
          <w:szCs w:val="24"/>
        </w:rPr>
        <w:t>8</w:t>
      </w:r>
      <w:r w:rsidRPr="00906F5F">
        <w:rPr>
          <w:b/>
          <w:bCs/>
          <w:sz w:val="24"/>
          <w:szCs w:val="24"/>
        </w:rPr>
        <w:t xml:space="preserve"> – </w:t>
      </w:r>
      <w:r w:rsidRPr="00906F5F">
        <w:rPr>
          <w:sz w:val="24"/>
          <w:szCs w:val="24"/>
        </w:rPr>
        <w:t>(1) Bu Yönerge yayımı tarihinde yürürlüğe girer.</w:t>
      </w:r>
    </w:p>
    <w:p w:rsidR="007C5610" w:rsidRPr="00906F5F" w:rsidRDefault="007C5610" w:rsidP="007C5610">
      <w:pPr>
        <w:spacing w:before="100" w:beforeAutospacing="1" w:after="100" w:afterAutospacing="1"/>
        <w:ind w:firstLine="567"/>
        <w:contextualSpacing/>
        <w:jc w:val="both"/>
        <w:rPr>
          <w:sz w:val="24"/>
          <w:szCs w:val="24"/>
        </w:rPr>
      </w:pPr>
    </w:p>
    <w:p w:rsidR="00C71882" w:rsidRPr="00906F5F" w:rsidRDefault="00C71882" w:rsidP="007C5610">
      <w:pPr>
        <w:spacing w:before="100" w:beforeAutospacing="1" w:after="100" w:afterAutospacing="1"/>
        <w:ind w:firstLine="567"/>
        <w:contextualSpacing/>
        <w:jc w:val="both"/>
        <w:rPr>
          <w:sz w:val="24"/>
          <w:szCs w:val="24"/>
        </w:rPr>
      </w:pPr>
      <w:r w:rsidRPr="00906F5F">
        <w:rPr>
          <w:b/>
          <w:bCs/>
          <w:sz w:val="24"/>
          <w:szCs w:val="24"/>
        </w:rPr>
        <w:t>Yürütme</w:t>
      </w:r>
    </w:p>
    <w:p w:rsidR="0036151C" w:rsidRDefault="00C71882" w:rsidP="007C5610">
      <w:pPr>
        <w:spacing w:before="100" w:beforeAutospacing="1" w:after="100" w:afterAutospacing="1"/>
        <w:ind w:firstLine="567"/>
        <w:contextualSpacing/>
        <w:jc w:val="both"/>
        <w:rPr>
          <w:sz w:val="24"/>
          <w:szCs w:val="24"/>
        </w:rPr>
      </w:pPr>
      <w:r w:rsidRPr="00906F5F">
        <w:rPr>
          <w:b/>
          <w:bCs/>
          <w:sz w:val="24"/>
          <w:szCs w:val="24"/>
        </w:rPr>
        <w:t>MADDE 1</w:t>
      </w:r>
      <w:r w:rsidR="00476B28" w:rsidRPr="00906F5F">
        <w:rPr>
          <w:b/>
          <w:bCs/>
          <w:sz w:val="24"/>
          <w:szCs w:val="24"/>
        </w:rPr>
        <w:t>9</w:t>
      </w:r>
      <w:r w:rsidRPr="00906F5F">
        <w:rPr>
          <w:b/>
          <w:bCs/>
          <w:sz w:val="24"/>
          <w:szCs w:val="24"/>
        </w:rPr>
        <w:t xml:space="preserve"> –</w:t>
      </w:r>
      <w:r w:rsidRPr="00906F5F">
        <w:rPr>
          <w:sz w:val="24"/>
          <w:szCs w:val="24"/>
        </w:rPr>
        <w:t xml:space="preserve"> (1) Bu Yönerge hükümlerini Pamukkale Üniversitesi Rektörü yürütür.</w:t>
      </w:r>
    </w:p>
    <w:p w:rsidR="00522AD2" w:rsidRDefault="00522AD2" w:rsidP="007C5610">
      <w:pPr>
        <w:spacing w:before="100" w:beforeAutospacing="1" w:after="100" w:afterAutospacing="1"/>
        <w:ind w:firstLine="567"/>
        <w:contextualSpacing/>
        <w:jc w:val="both"/>
        <w:rPr>
          <w:sz w:val="24"/>
          <w:szCs w:val="24"/>
        </w:rPr>
      </w:pPr>
    </w:p>
    <w:p w:rsidR="00522AD2" w:rsidRPr="00D409FB" w:rsidRDefault="00522AD2" w:rsidP="007C5610">
      <w:pPr>
        <w:spacing w:before="100" w:beforeAutospacing="1" w:after="100" w:afterAutospacing="1"/>
        <w:ind w:firstLine="567"/>
        <w:contextualSpacing/>
        <w:jc w:val="both"/>
        <w:rPr>
          <w:color w:val="00B0F0"/>
          <w:sz w:val="24"/>
          <w:szCs w:val="24"/>
        </w:rPr>
      </w:pPr>
      <w:r w:rsidRPr="00D409FB">
        <w:rPr>
          <w:color w:val="00B0F0"/>
          <w:sz w:val="24"/>
          <w:szCs w:val="24"/>
        </w:rPr>
        <w:t xml:space="preserve">(Üniversitemiz Senatosunun </w:t>
      </w:r>
      <w:proofErr w:type="gramStart"/>
      <w:r w:rsidRPr="00D409FB">
        <w:rPr>
          <w:color w:val="00B0F0"/>
          <w:sz w:val="24"/>
          <w:szCs w:val="24"/>
        </w:rPr>
        <w:t>01/02/2016</w:t>
      </w:r>
      <w:proofErr w:type="gramEnd"/>
      <w:r w:rsidRPr="00D409FB">
        <w:rPr>
          <w:color w:val="00B0F0"/>
          <w:sz w:val="24"/>
          <w:szCs w:val="24"/>
        </w:rPr>
        <w:t xml:space="preserve"> tarih ve 02/3 sayılı kararı ile kabul edilmiştir.)</w:t>
      </w:r>
    </w:p>
    <w:sectPr w:rsidR="00522AD2" w:rsidRPr="00D409FB" w:rsidSect="00321820">
      <w:pgSz w:w="11906" w:h="16838"/>
      <w:pgMar w:top="1417" w:right="1417" w:bottom="72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45"/>
    <w:rsid w:val="000553AF"/>
    <w:rsid w:val="00124145"/>
    <w:rsid w:val="00134073"/>
    <w:rsid w:val="002F7F52"/>
    <w:rsid w:val="0036151C"/>
    <w:rsid w:val="003B5A22"/>
    <w:rsid w:val="0040507A"/>
    <w:rsid w:val="00412AAC"/>
    <w:rsid w:val="00476B28"/>
    <w:rsid w:val="00483898"/>
    <w:rsid w:val="00522AD2"/>
    <w:rsid w:val="0066668B"/>
    <w:rsid w:val="006D6914"/>
    <w:rsid w:val="006F42DC"/>
    <w:rsid w:val="006F4D8A"/>
    <w:rsid w:val="00717786"/>
    <w:rsid w:val="007C5610"/>
    <w:rsid w:val="0086178C"/>
    <w:rsid w:val="008A3CEC"/>
    <w:rsid w:val="008B780F"/>
    <w:rsid w:val="00906F5F"/>
    <w:rsid w:val="00946814"/>
    <w:rsid w:val="00B77663"/>
    <w:rsid w:val="00C10EE3"/>
    <w:rsid w:val="00C21D19"/>
    <w:rsid w:val="00C677B0"/>
    <w:rsid w:val="00C71882"/>
    <w:rsid w:val="00CA1685"/>
    <w:rsid w:val="00D14605"/>
    <w:rsid w:val="00D409FB"/>
    <w:rsid w:val="00D443D1"/>
    <w:rsid w:val="00D66D01"/>
    <w:rsid w:val="00D95E29"/>
    <w:rsid w:val="00E46D98"/>
    <w:rsid w:val="00FB48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88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0507A"/>
    <w:rPr>
      <w:rFonts w:ascii="Tahoma" w:hAnsi="Tahoma" w:cs="Tahoma"/>
      <w:sz w:val="16"/>
      <w:szCs w:val="16"/>
    </w:rPr>
  </w:style>
  <w:style w:type="character" w:customStyle="1" w:styleId="BalonMetniChar">
    <w:name w:val="Balon Metni Char"/>
    <w:basedOn w:val="VarsaylanParagrafYazTipi"/>
    <w:link w:val="BalonMetni"/>
    <w:uiPriority w:val="99"/>
    <w:semiHidden/>
    <w:rsid w:val="0040507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88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0507A"/>
    <w:rPr>
      <w:rFonts w:ascii="Tahoma" w:hAnsi="Tahoma" w:cs="Tahoma"/>
      <w:sz w:val="16"/>
      <w:szCs w:val="16"/>
    </w:rPr>
  </w:style>
  <w:style w:type="character" w:customStyle="1" w:styleId="BalonMetniChar">
    <w:name w:val="Balon Metni Char"/>
    <w:basedOn w:val="VarsaylanParagrafYazTipi"/>
    <w:link w:val="BalonMetni"/>
    <w:uiPriority w:val="99"/>
    <w:semiHidden/>
    <w:rsid w:val="0040507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2250</Words>
  <Characters>12827</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15047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2</cp:revision>
  <cp:lastPrinted>2016-02-03T10:49:00Z</cp:lastPrinted>
  <dcterms:created xsi:type="dcterms:W3CDTF">2016-02-12T12:00:00Z</dcterms:created>
  <dcterms:modified xsi:type="dcterms:W3CDTF">2016-02-12T12:00:00Z</dcterms:modified>
</cp:coreProperties>
</file>