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608" w:rsidRPr="00204383" w:rsidRDefault="00E60608" w:rsidP="00BE795E">
      <w:pPr>
        <w:jc w:val="center"/>
        <w:rPr>
          <w:rFonts w:ascii="Times New Roman" w:hAnsi="Times New Roman" w:cs="Times New Roman"/>
          <w:b/>
          <w:sz w:val="24"/>
          <w:szCs w:val="24"/>
        </w:rPr>
      </w:pPr>
      <w:r w:rsidRPr="00204383">
        <w:rPr>
          <w:rFonts w:ascii="Times New Roman" w:hAnsi="Times New Roman" w:cs="Times New Roman"/>
          <w:b/>
          <w:sz w:val="24"/>
          <w:szCs w:val="24"/>
        </w:rPr>
        <w:t>PAMUKKALE ÜNİVERSİTESİ</w:t>
      </w:r>
    </w:p>
    <w:p w:rsidR="00E60608" w:rsidRPr="00204383" w:rsidRDefault="00E60608" w:rsidP="00BE795E">
      <w:pPr>
        <w:jc w:val="center"/>
        <w:rPr>
          <w:rFonts w:ascii="Times New Roman" w:hAnsi="Times New Roman" w:cs="Times New Roman"/>
          <w:b/>
          <w:sz w:val="24"/>
          <w:szCs w:val="24"/>
        </w:rPr>
      </w:pPr>
      <w:r w:rsidRPr="00204383">
        <w:rPr>
          <w:rFonts w:ascii="Times New Roman" w:hAnsi="Times New Roman" w:cs="Times New Roman"/>
          <w:b/>
          <w:sz w:val="24"/>
          <w:szCs w:val="24"/>
        </w:rPr>
        <w:t>DEĞERLENDİRME VE NOTLANDIRMA YÖNERGESİ</w:t>
      </w:r>
      <w:r w:rsidR="00415FDF" w:rsidRPr="00415FDF">
        <w:rPr>
          <w:rFonts w:ascii="Times New Roman" w:hAnsi="Times New Roman" w:cs="Times New Roman"/>
          <w:b/>
          <w:color w:val="FF0000"/>
          <w:sz w:val="24"/>
          <w:szCs w:val="24"/>
          <w:vertAlign w:val="superscript"/>
        </w:rPr>
        <w:t>1</w:t>
      </w:r>
    </w:p>
    <w:p w:rsidR="00E60608" w:rsidRPr="00204383" w:rsidRDefault="00E60608" w:rsidP="007F4F82">
      <w:pPr>
        <w:pStyle w:val="Default"/>
        <w:jc w:val="both"/>
        <w:rPr>
          <w:b/>
          <w:bCs/>
        </w:rPr>
      </w:pPr>
    </w:p>
    <w:p w:rsidR="00E60608" w:rsidRPr="00204383" w:rsidRDefault="00E60608" w:rsidP="007F4F82">
      <w:pPr>
        <w:pStyle w:val="Default"/>
        <w:jc w:val="both"/>
      </w:pPr>
      <w:r w:rsidRPr="00204383">
        <w:rPr>
          <w:b/>
          <w:bCs/>
        </w:rPr>
        <w:t>Amaç ve Kapsam</w:t>
      </w:r>
    </w:p>
    <w:p w:rsidR="00E60608" w:rsidRPr="00204383" w:rsidRDefault="00E60608" w:rsidP="007F4F82">
      <w:pPr>
        <w:spacing w:after="0" w:line="240" w:lineRule="auto"/>
        <w:jc w:val="both"/>
        <w:rPr>
          <w:rFonts w:ascii="Times New Roman" w:hAnsi="Times New Roman" w:cs="Times New Roman"/>
          <w:sz w:val="24"/>
          <w:szCs w:val="24"/>
        </w:rPr>
      </w:pPr>
      <w:r w:rsidRPr="00204383">
        <w:rPr>
          <w:rFonts w:ascii="Times New Roman" w:hAnsi="Times New Roman" w:cs="Times New Roman"/>
          <w:b/>
          <w:bCs/>
          <w:sz w:val="24"/>
          <w:szCs w:val="24"/>
        </w:rPr>
        <w:t xml:space="preserve">Madde 1 – </w:t>
      </w:r>
      <w:r w:rsidRPr="00204383">
        <w:rPr>
          <w:rFonts w:ascii="Times New Roman" w:hAnsi="Times New Roman" w:cs="Times New Roman"/>
          <w:sz w:val="24"/>
          <w:szCs w:val="24"/>
        </w:rPr>
        <w:t>(1) Bu Yönerge, Tıp Fakültesi, Diş Hekimliği Fakültesi, Hukuk Fakültesi ve Yabancı Diller Yüksekokulunda bulunan diploma programları hariç olmak kaydıyla Üniversitedeki tüm ön lisans ve lisans diploma programlarındaki derslere ait değerlendirme ve notlandırmaya ilişkin usul ve esasları düzenler.</w:t>
      </w:r>
    </w:p>
    <w:p w:rsidR="00E60608" w:rsidRPr="00204383" w:rsidRDefault="00E60608" w:rsidP="007F4F82">
      <w:pPr>
        <w:pStyle w:val="Default"/>
        <w:jc w:val="both"/>
        <w:rPr>
          <w:b/>
          <w:bCs/>
        </w:rPr>
      </w:pPr>
    </w:p>
    <w:p w:rsidR="00E60608" w:rsidRPr="00204383" w:rsidRDefault="00E60608" w:rsidP="007F4F82">
      <w:pPr>
        <w:pStyle w:val="Default"/>
        <w:jc w:val="both"/>
      </w:pPr>
      <w:r w:rsidRPr="00204383">
        <w:rPr>
          <w:b/>
          <w:bCs/>
        </w:rPr>
        <w:t xml:space="preserve">Dayanak </w:t>
      </w:r>
    </w:p>
    <w:p w:rsidR="00E60608" w:rsidRPr="00204383" w:rsidRDefault="00E60608" w:rsidP="007F4F82">
      <w:pPr>
        <w:spacing w:after="0" w:line="240" w:lineRule="auto"/>
        <w:jc w:val="both"/>
        <w:rPr>
          <w:rFonts w:ascii="Times New Roman" w:hAnsi="Times New Roman" w:cs="Times New Roman"/>
          <w:sz w:val="24"/>
          <w:szCs w:val="24"/>
        </w:rPr>
      </w:pPr>
      <w:r w:rsidRPr="00204383">
        <w:rPr>
          <w:rFonts w:ascii="Times New Roman" w:hAnsi="Times New Roman" w:cs="Times New Roman"/>
          <w:b/>
          <w:bCs/>
          <w:sz w:val="24"/>
          <w:szCs w:val="24"/>
        </w:rPr>
        <w:t xml:space="preserve">Madde 2- </w:t>
      </w:r>
      <w:r w:rsidRPr="00204383">
        <w:rPr>
          <w:rFonts w:ascii="Times New Roman" w:hAnsi="Times New Roman" w:cs="Times New Roman"/>
          <w:sz w:val="24"/>
          <w:szCs w:val="24"/>
        </w:rPr>
        <w:t xml:space="preserve">(1) Bu Yönerge; 21/8/2013 tarihli ve 28742 sayılı Resmi </w:t>
      </w:r>
      <w:proofErr w:type="spellStart"/>
      <w:r w:rsidRPr="00204383">
        <w:rPr>
          <w:rFonts w:ascii="Times New Roman" w:hAnsi="Times New Roman" w:cs="Times New Roman"/>
          <w:sz w:val="24"/>
          <w:szCs w:val="24"/>
        </w:rPr>
        <w:t>Gazete</w:t>
      </w:r>
      <w:r w:rsidR="007F4F82">
        <w:rPr>
          <w:rFonts w:ascii="Times New Roman" w:hAnsi="Times New Roman" w:cs="Times New Roman"/>
          <w:sz w:val="24"/>
          <w:szCs w:val="24"/>
        </w:rPr>
        <w:t>’</w:t>
      </w:r>
      <w:r w:rsidRPr="00204383">
        <w:rPr>
          <w:rFonts w:ascii="Times New Roman" w:hAnsi="Times New Roman" w:cs="Times New Roman"/>
          <w:sz w:val="24"/>
          <w:szCs w:val="24"/>
        </w:rPr>
        <w:t>de</w:t>
      </w:r>
      <w:proofErr w:type="spellEnd"/>
      <w:r w:rsidRPr="00204383">
        <w:rPr>
          <w:rFonts w:ascii="Times New Roman" w:hAnsi="Times New Roman" w:cs="Times New Roman"/>
          <w:sz w:val="24"/>
          <w:szCs w:val="24"/>
        </w:rPr>
        <w:t xml:space="preserve"> yayımlanarak yürürlüğe giren Pamukkale Üniversitesi Önlisans, Lisans Eğitim ve Öğretim Yönetmeliği maddelerine dayanılarak hazırlanmıştır.</w:t>
      </w:r>
    </w:p>
    <w:p w:rsidR="00E60608" w:rsidRPr="00204383" w:rsidRDefault="00E60608" w:rsidP="007F4F82">
      <w:pPr>
        <w:pStyle w:val="Default"/>
        <w:jc w:val="both"/>
        <w:rPr>
          <w:b/>
          <w:bCs/>
        </w:rPr>
      </w:pPr>
    </w:p>
    <w:p w:rsidR="00E60608" w:rsidRPr="00204383" w:rsidRDefault="00E60608" w:rsidP="007F4F82">
      <w:pPr>
        <w:pStyle w:val="Default"/>
        <w:jc w:val="both"/>
      </w:pPr>
      <w:r w:rsidRPr="00204383">
        <w:rPr>
          <w:b/>
          <w:bCs/>
        </w:rPr>
        <w:t xml:space="preserve">Tanımlar </w:t>
      </w:r>
    </w:p>
    <w:p w:rsidR="00E60608" w:rsidRPr="00204383" w:rsidRDefault="00E60608" w:rsidP="007F4F82">
      <w:pPr>
        <w:spacing w:after="0" w:line="240" w:lineRule="auto"/>
        <w:jc w:val="both"/>
        <w:rPr>
          <w:rFonts w:ascii="Times New Roman" w:hAnsi="Times New Roman" w:cs="Times New Roman"/>
          <w:sz w:val="24"/>
          <w:szCs w:val="24"/>
        </w:rPr>
      </w:pPr>
      <w:r w:rsidRPr="00204383">
        <w:rPr>
          <w:rFonts w:ascii="Times New Roman" w:hAnsi="Times New Roman" w:cs="Times New Roman"/>
          <w:b/>
          <w:bCs/>
          <w:sz w:val="24"/>
          <w:szCs w:val="24"/>
        </w:rPr>
        <w:t xml:space="preserve">Madde 3 – </w:t>
      </w:r>
      <w:r w:rsidRPr="00204383">
        <w:rPr>
          <w:rFonts w:ascii="Times New Roman" w:hAnsi="Times New Roman" w:cs="Times New Roman"/>
          <w:sz w:val="24"/>
          <w:szCs w:val="24"/>
        </w:rPr>
        <w:t>(1) Bu Yönergede geçen;</w:t>
      </w:r>
    </w:p>
    <w:p w:rsidR="00E60608" w:rsidRPr="00204383" w:rsidRDefault="00E60608" w:rsidP="007F4F82">
      <w:pPr>
        <w:pStyle w:val="Default"/>
        <w:numPr>
          <w:ilvl w:val="0"/>
          <w:numId w:val="6"/>
        </w:numPr>
        <w:jc w:val="both"/>
        <w:rPr>
          <w:bCs/>
        </w:rPr>
      </w:pPr>
      <w:r w:rsidRPr="00204383">
        <w:rPr>
          <w:bCs/>
        </w:rPr>
        <w:t xml:space="preserve">Akademik Birim: Üniversite’deki </w:t>
      </w:r>
      <w:r w:rsidRPr="00204383">
        <w:t>Tıp Fakültesi, Diş Hekimliği Fakültesi, Hukuk Fakültesi ve Yabancı Diller Yüksekokulu dışındaki tüm Fakült</w:t>
      </w:r>
      <w:r w:rsidR="007F4F82">
        <w:t>e, Yüksekokul ve Meslek Yükseko</w:t>
      </w:r>
      <w:r w:rsidRPr="00204383">
        <w:t>kullarını,</w:t>
      </w:r>
    </w:p>
    <w:p w:rsidR="00E60608" w:rsidRPr="00204383" w:rsidRDefault="00E60608" w:rsidP="007F4F82">
      <w:pPr>
        <w:pStyle w:val="Default"/>
        <w:numPr>
          <w:ilvl w:val="0"/>
          <w:numId w:val="6"/>
        </w:numPr>
        <w:jc w:val="both"/>
        <w:rPr>
          <w:bCs/>
        </w:rPr>
      </w:pPr>
      <w:r w:rsidRPr="00204383">
        <w:rPr>
          <w:bCs/>
        </w:rPr>
        <w:t>Bağıl Başarı Puanı: Öğrencinin Ham Başarı Puanının Bağıl Notlandırma Sistemine uygulanması sonucunda aldığı puanı,</w:t>
      </w:r>
    </w:p>
    <w:p w:rsidR="00E60608" w:rsidRPr="00204383" w:rsidRDefault="00E60608" w:rsidP="007F4F82">
      <w:pPr>
        <w:pStyle w:val="Default"/>
        <w:numPr>
          <w:ilvl w:val="0"/>
          <w:numId w:val="6"/>
        </w:numPr>
        <w:jc w:val="both"/>
        <w:rPr>
          <w:bCs/>
        </w:rPr>
      </w:pPr>
      <w:r w:rsidRPr="00204383">
        <w:rPr>
          <w:bCs/>
        </w:rPr>
        <w:t>Bağıl Notlandırma Sistemi: Öğrencinin ders aldığı şubesindeki diğer öğrenciler arasındaki yerini esas alarak yapılan notlandırma sistemini,</w:t>
      </w:r>
    </w:p>
    <w:p w:rsidR="00E60608" w:rsidRPr="00204383" w:rsidRDefault="007F4F82" w:rsidP="007F4F82">
      <w:pPr>
        <w:pStyle w:val="Default"/>
        <w:numPr>
          <w:ilvl w:val="0"/>
          <w:numId w:val="6"/>
        </w:numPr>
        <w:jc w:val="both"/>
        <w:rPr>
          <w:bCs/>
        </w:rPr>
      </w:pPr>
      <w:r>
        <w:rPr>
          <w:bCs/>
        </w:rPr>
        <w:t>Başarı Notu: Öğrenciye 4’</w:t>
      </w:r>
      <w:r w:rsidR="00E60608" w:rsidRPr="00204383">
        <w:rPr>
          <w:bCs/>
        </w:rPr>
        <w:t>lük not sistemi üzerinden verilen ve harflerle tanımlanan notu,</w:t>
      </w:r>
    </w:p>
    <w:p w:rsidR="00E60608" w:rsidRPr="00204383" w:rsidRDefault="00E60608" w:rsidP="007F4F82">
      <w:pPr>
        <w:pStyle w:val="Default"/>
        <w:numPr>
          <w:ilvl w:val="0"/>
          <w:numId w:val="6"/>
        </w:numPr>
        <w:jc w:val="both"/>
        <w:rPr>
          <w:bCs/>
        </w:rPr>
      </w:pPr>
      <w:r w:rsidRPr="00204383">
        <w:rPr>
          <w:bCs/>
        </w:rPr>
        <w:t>Baş</w:t>
      </w:r>
      <w:r w:rsidR="007F4F82">
        <w:rPr>
          <w:bCs/>
        </w:rPr>
        <w:t>arı Notu Katsayısı: Öğrenciye 4’</w:t>
      </w:r>
      <w:r w:rsidRPr="00204383">
        <w:rPr>
          <w:bCs/>
        </w:rPr>
        <w:t>lük not sistemi üzerinden verilen başarı notuna karşılık gelen katsayıyı,</w:t>
      </w:r>
    </w:p>
    <w:p w:rsidR="00E60608" w:rsidRPr="00204383" w:rsidRDefault="00E60608" w:rsidP="007F4F82">
      <w:pPr>
        <w:pStyle w:val="Default"/>
        <w:numPr>
          <w:ilvl w:val="0"/>
          <w:numId w:val="6"/>
        </w:numPr>
        <w:jc w:val="both"/>
        <w:rPr>
          <w:bCs/>
        </w:rPr>
      </w:pPr>
      <w:r w:rsidRPr="00204383">
        <w:rPr>
          <w:bCs/>
        </w:rPr>
        <w:t>Başarı Puanı: Öğrencinin bir dersten mutlak ve/veya bağıl notlandırma sisteminin sonucunda 100 tam puan üzerinden aldığı puanı,</w:t>
      </w:r>
    </w:p>
    <w:p w:rsidR="00E60608" w:rsidRPr="00204383" w:rsidRDefault="007F4F82" w:rsidP="007F4F82">
      <w:pPr>
        <w:pStyle w:val="Default"/>
        <w:numPr>
          <w:ilvl w:val="0"/>
          <w:numId w:val="6"/>
        </w:numPr>
        <w:jc w:val="both"/>
        <w:rPr>
          <w:bCs/>
        </w:rPr>
      </w:pPr>
      <w:r>
        <w:rPr>
          <w:bCs/>
        </w:rPr>
        <w:t>Ham Başarı P</w:t>
      </w:r>
      <w:r w:rsidR="00E60608" w:rsidRPr="00204383">
        <w:rPr>
          <w:bCs/>
        </w:rPr>
        <w:t xml:space="preserve">uanı: Öğrencinin bir dersteki dönem içi ve dönem sonu değerlendirmeleri sonucu 100 tam puan üzerinden hesaplanan ağırlıklı ortalamasını, </w:t>
      </w:r>
    </w:p>
    <w:p w:rsidR="00E60608" w:rsidRPr="00204383" w:rsidRDefault="00E60608" w:rsidP="007F4F82">
      <w:pPr>
        <w:pStyle w:val="Default"/>
        <w:numPr>
          <w:ilvl w:val="0"/>
          <w:numId w:val="6"/>
        </w:numPr>
        <w:jc w:val="both"/>
        <w:rPr>
          <w:bCs/>
        </w:rPr>
      </w:pPr>
      <w:r w:rsidRPr="00204383">
        <w:rPr>
          <w:bCs/>
        </w:rPr>
        <w:t>İlgili Yönetim Kurulu: Akademik birim yönetim kurullarını,</w:t>
      </w:r>
    </w:p>
    <w:p w:rsidR="00E60608" w:rsidRPr="00204383" w:rsidRDefault="00E60608" w:rsidP="007F4F82">
      <w:pPr>
        <w:pStyle w:val="Default"/>
        <w:numPr>
          <w:ilvl w:val="0"/>
          <w:numId w:val="6"/>
        </w:numPr>
        <w:jc w:val="both"/>
        <w:rPr>
          <w:bCs/>
        </w:rPr>
      </w:pPr>
      <w:r w:rsidRPr="00204383">
        <w:rPr>
          <w:bCs/>
        </w:rPr>
        <w:t>Mutlak Notlandırma Sistemi: Öğrencinin sadece kendi başarısını esas alarak yapılan notlandırma sistemini,</w:t>
      </w:r>
    </w:p>
    <w:p w:rsidR="00E60608" w:rsidRPr="00204383" w:rsidRDefault="00E60608" w:rsidP="007F4F82">
      <w:pPr>
        <w:pStyle w:val="Default"/>
        <w:numPr>
          <w:ilvl w:val="0"/>
          <w:numId w:val="6"/>
        </w:numPr>
        <w:jc w:val="both"/>
        <w:rPr>
          <w:bCs/>
        </w:rPr>
      </w:pPr>
      <w:r w:rsidRPr="00204383">
        <w:rPr>
          <w:bCs/>
        </w:rPr>
        <w:t>Senato: Pamukkale Üniversitesi Senatosu’nu,</w:t>
      </w:r>
    </w:p>
    <w:p w:rsidR="00E60608" w:rsidRPr="00204383" w:rsidRDefault="00E60608" w:rsidP="007F4F82">
      <w:pPr>
        <w:pStyle w:val="Default"/>
        <w:numPr>
          <w:ilvl w:val="0"/>
          <w:numId w:val="6"/>
        </w:numPr>
        <w:jc w:val="both"/>
        <w:rPr>
          <w:bCs/>
        </w:rPr>
      </w:pPr>
      <w:r w:rsidRPr="00204383">
        <w:rPr>
          <w:bCs/>
        </w:rPr>
        <w:t>Üniversite: Pamukkale Üniversitesi’ni,</w:t>
      </w:r>
    </w:p>
    <w:p w:rsidR="00E60608" w:rsidRPr="00204383" w:rsidRDefault="00E60608" w:rsidP="007F4F82">
      <w:pPr>
        <w:pStyle w:val="Default"/>
        <w:ind w:left="720"/>
        <w:jc w:val="both"/>
        <w:rPr>
          <w:b/>
          <w:bCs/>
        </w:rPr>
      </w:pPr>
      <w:proofErr w:type="gramStart"/>
      <w:r w:rsidRPr="00204383">
        <w:rPr>
          <w:bCs/>
        </w:rPr>
        <w:t>ifade</w:t>
      </w:r>
      <w:proofErr w:type="gramEnd"/>
      <w:r w:rsidRPr="00204383">
        <w:rPr>
          <w:bCs/>
        </w:rPr>
        <w:t xml:space="preserve"> eder.</w:t>
      </w:r>
      <w:r w:rsidRPr="00204383">
        <w:rPr>
          <w:b/>
          <w:bCs/>
        </w:rPr>
        <w:t xml:space="preserve"> </w:t>
      </w:r>
    </w:p>
    <w:p w:rsidR="00E60608" w:rsidRPr="00204383" w:rsidRDefault="00E60608" w:rsidP="007F4F82">
      <w:pPr>
        <w:pStyle w:val="Default"/>
        <w:jc w:val="both"/>
        <w:rPr>
          <w:b/>
          <w:bCs/>
        </w:rPr>
      </w:pPr>
    </w:p>
    <w:p w:rsidR="00E60608" w:rsidRPr="00204383" w:rsidRDefault="00E60608" w:rsidP="007F4F82">
      <w:pPr>
        <w:pStyle w:val="Default"/>
        <w:jc w:val="both"/>
        <w:rPr>
          <w:b/>
          <w:bCs/>
        </w:rPr>
      </w:pPr>
      <w:r w:rsidRPr="00204383">
        <w:rPr>
          <w:b/>
          <w:bCs/>
        </w:rPr>
        <w:t>Değerlendirme</w:t>
      </w:r>
    </w:p>
    <w:p w:rsidR="00E60608" w:rsidRPr="00204383" w:rsidRDefault="00E60608" w:rsidP="007F4F82">
      <w:pPr>
        <w:pStyle w:val="Default"/>
        <w:jc w:val="both"/>
      </w:pPr>
      <w:r w:rsidRPr="00204383">
        <w:rPr>
          <w:b/>
          <w:bCs/>
        </w:rPr>
        <w:t xml:space="preserve">Madde 4 </w:t>
      </w:r>
      <w:r w:rsidRPr="00204383">
        <w:t>– (1) Öğrencinin bir dersteki başarısı dönem içi çalışmaları ve dönem sonu sınavından aldığı puanlara göre belirlenir.</w:t>
      </w:r>
    </w:p>
    <w:p w:rsidR="00E60608" w:rsidRPr="00204383" w:rsidRDefault="00E60608" w:rsidP="007F4F82">
      <w:pPr>
        <w:pStyle w:val="Default"/>
        <w:jc w:val="both"/>
      </w:pPr>
      <w:r w:rsidRPr="00204383">
        <w:t xml:space="preserve">(2) Dönem içi değerlendirmelerin her biri ve dönem sonu sınavı 100 tam puan üzerinden notlandırılır. </w:t>
      </w:r>
    </w:p>
    <w:p w:rsidR="00E60608" w:rsidRPr="00204383" w:rsidRDefault="00E60608" w:rsidP="007F4F82">
      <w:pPr>
        <w:spacing w:after="0" w:line="240" w:lineRule="auto"/>
        <w:jc w:val="both"/>
        <w:rPr>
          <w:rFonts w:ascii="Times New Roman" w:hAnsi="Times New Roman" w:cs="Times New Roman"/>
          <w:b/>
          <w:sz w:val="24"/>
          <w:szCs w:val="24"/>
        </w:rPr>
      </w:pPr>
    </w:p>
    <w:p w:rsidR="00E60608" w:rsidRPr="00204383" w:rsidRDefault="00E60608" w:rsidP="007F4F82">
      <w:pPr>
        <w:autoSpaceDE w:val="0"/>
        <w:autoSpaceDN w:val="0"/>
        <w:adjustRightInd w:val="0"/>
        <w:spacing w:after="0"/>
        <w:jc w:val="both"/>
        <w:rPr>
          <w:rFonts w:ascii="Times New Roman" w:hAnsi="Times New Roman" w:cs="Times New Roman"/>
          <w:b/>
          <w:sz w:val="24"/>
          <w:szCs w:val="24"/>
        </w:rPr>
      </w:pPr>
      <w:r w:rsidRPr="00204383">
        <w:rPr>
          <w:rFonts w:ascii="Times New Roman" w:hAnsi="Times New Roman" w:cs="Times New Roman"/>
          <w:b/>
          <w:sz w:val="24"/>
          <w:szCs w:val="24"/>
        </w:rPr>
        <w:t xml:space="preserve">Notlandırma </w:t>
      </w:r>
    </w:p>
    <w:p w:rsidR="00E60608" w:rsidRPr="00204383" w:rsidRDefault="00E60608" w:rsidP="007F4F82">
      <w:pPr>
        <w:spacing w:after="0"/>
        <w:jc w:val="both"/>
        <w:rPr>
          <w:rFonts w:ascii="Times New Roman" w:hAnsi="Times New Roman" w:cs="Times New Roman"/>
          <w:b/>
          <w:sz w:val="24"/>
          <w:szCs w:val="24"/>
        </w:rPr>
      </w:pPr>
      <w:r w:rsidRPr="00204383">
        <w:rPr>
          <w:rFonts w:ascii="Times New Roman" w:hAnsi="Times New Roman" w:cs="Times New Roman"/>
          <w:b/>
          <w:sz w:val="24"/>
          <w:szCs w:val="24"/>
        </w:rPr>
        <w:t>Madde 5</w:t>
      </w:r>
      <w:r w:rsidRPr="00204383">
        <w:rPr>
          <w:rFonts w:ascii="Times New Roman" w:hAnsi="Times New Roman" w:cs="Times New Roman"/>
          <w:sz w:val="24"/>
          <w:szCs w:val="24"/>
        </w:rPr>
        <w:t xml:space="preserve"> – (1) Üniversitede mutlak notlandırma ve bağıl notlandırma sistemi birlikte kullanılmaktadır.</w:t>
      </w:r>
    </w:p>
    <w:p w:rsidR="00E60608" w:rsidRPr="00204383" w:rsidRDefault="00E60608" w:rsidP="007F4F82">
      <w:pPr>
        <w:spacing w:after="0"/>
        <w:jc w:val="both"/>
        <w:rPr>
          <w:rFonts w:ascii="Times New Roman" w:hAnsi="Times New Roman" w:cs="Times New Roman"/>
          <w:sz w:val="24"/>
          <w:szCs w:val="24"/>
        </w:rPr>
      </w:pPr>
      <w:r w:rsidRPr="00204383">
        <w:rPr>
          <w:rFonts w:ascii="Times New Roman" w:hAnsi="Times New Roman" w:cs="Times New Roman"/>
          <w:sz w:val="24"/>
          <w:szCs w:val="24"/>
        </w:rPr>
        <w:t xml:space="preserve">(2) Her türlü dönem içi ve genel sınav değerlendirmeleri, 100 tam puan üzerinden tam sayı esasına göre notlandırılır. </w:t>
      </w:r>
    </w:p>
    <w:p w:rsidR="00E60608" w:rsidRPr="00204383" w:rsidRDefault="00E60608" w:rsidP="007F4F82">
      <w:pPr>
        <w:spacing w:after="0"/>
        <w:jc w:val="both"/>
        <w:rPr>
          <w:rFonts w:ascii="Times New Roman" w:hAnsi="Times New Roman" w:cs="Times New Roman"/>
          <w:color w:val="000000"/>
          <w:sz w:val="24"/>
          <w:szCs w:val="24"/>
        </w:rPr>
      </w:pPr>
      <w:r w:rsidRPr="00204383">
        <w:rPr>
          <w:rFonts w:ascii="Times New Roman" w:hAnsi="Times New Roman" w:cs="Times New Roman"/>
          <w:sz w:val="24"/>
          <w:szCs w:val="24"/>
        </w:rPr>
        <w:lastRenderedPageBreak/>
        <w:t>(</w:t>
      </w:r>
      <w:r w:rsidRPr="00204383">
        <w:rPr>
          <w:rFonts w:ascii="Times New Roman" w:hAnsi="Times New Roman" w:cs="Times New Roman"/>
          <w:color w:val="000000"/>
          <w:sz w:val="24"/>
          <w:szCs w:val="24"/>
        </w:rPr>
        <w:t>3) Öğretim elemanı tarafından belirlenen oranlarda dönem içi ve dönem sonu notlarının ağırlıklı ortalaması alınarak her bir öğrenci için Ham Başarı Puanı elde edilir.</w:t>
      </w:r>
    </w:p>
    <w:p w:rsidR="00E60608" w:rsidRPr="00204383" w:rsidRDefault="00E60608" w:rsidP="007F4F82">
      <w:pPr>
        <w:spacing w:after="0"/>
        <w:jc w:val="both"/>
        <w:rPr>
          <w:rFonts w:ascii="Times New Roman" w:hAnsi="Times New Roman" w:cs="Times New Roman"/>
          <w:color w:val="000000"/>
          <w:sz w:val="24"/>
          <w:szCs w:val="24"/>
        </w:rPr>
      </w:pPr>
      <w:r w:rsidRPr="00204383">
        <w:rPr>
          <w:rFonts w:ascii="Times New Roman" w:hAnsi="Times New Roman" w:cs="Times New Roman"/>
          <w:color w:val="000000"/>
          <w:sz w:val="24"/>
          <w:szCs w:val="24"/>
        </w:rPr>
        <w:t xml:space="preserve">(4) Şube ortalaması, o şubeye ait tüm öğrencilerin Ham Başarı Puanlarının toplam öğrenci sayısına bölünmesi ile elde edilir. </w:t>
      </w:r>
    </w:p>
    <w:p w:rsidR="00E60608" w:rsidRPr="00204383" w:rsidRDefault="00E60608" w:rsidP="007F4F82">
      <w:pPr>
        <w:spacing w:after="0"/>
        <w:jc w:val="both"/>
        <w:rPr>
          <w:rFonts w:ascii="Times New Roman" w:hAnsi="Times New Roman" w:cs="Times New Roman"/>
          <w:color w:val="000000"/>
          <w:sz w:val="24"/>
          <w:szCs w:val="24"/>
        </w:rPr>
      </w:pPr>
      <w:r w:rsidRPr="00204383">
        <w:rPr>
          <w:rFonts w:ascii="Times New Roman" w:hAnsi="Times New Roman" w:cs="Times New Roman"/>
          <w:color w:val="000000"/>
          <w:sz w:val="24"/>
          <w:szCs w:val="24"/>
        </w:rPr>
        <w:t xml:space="preserve">(5) Bir öğrencinin bağıl sisteme ait ortalamaya </w:t>
      </w:r>
      <w:r w:rsidR="00204383" w:rsidRPr="00204383">
        <w:rPr>
          <w:rFonts w:ascii="Times New Roman" w:hAnsi="Times New Roman" w:cs="Times New Roman"/>
          <w:color w:val="000000"/>
          <w:sz w:val="24"/>
          <w:szCs w:val="24"/>
        </w:rPr>
        <w:t>dâhil</w:t>
      </w:r>
      <w:r w:rsidRPr="00204383">
        <w:rPr>
          <w:rFonts w:ascii="Times New Roman" w:hAnsi="Times New Roman" w:cs="Times New Roman"/>
          <w:color w:val="000000"/>
          <w:sz w:val="24"/>
          <w:szCs w:val="24"/>
        </w:rPr>
        <w:t xml:space="preserve"> olabilmesi için devam koşulunu sağlaması, dönem sonu sınavına girmesi ve Ham Başarı Puanının en az 20 olması gerekmektedir. </w:t>
      </w:r>
    </w:p>
    <w:p w:rsidR="00E60608" w:rsidRPr="00204383" w:rsidRDefault="00E60608" w:rsidP="007F4F82">
      <w:pPr>
        <w:spacing w:after="0"/>
        <w:jc w:val="both"/>
        <w:rPr>
          <w:rFonts w:ascii="Times New Roman" w:hAnsi="Times New Roman" w:cs="Times New Roman"/>
          <w:color w:val="000000"/>
          <w:sz w:val="24"/>
          <w:szCs w:val="24"/>
        </w:rPr>
      </w:pPr>
      <w:r w:rsidRPr="00204383">
        <w:rPr>
          <w:rFonts w:ascii="Times New Roman" w:hAnsi="Times New Roman" w:cs="Times New Roman"/>
          <w:color w:val="000000"/>
          <w:sz w:val="24"/>
          <w:szCs w:val="24"/>
        </w:rPr>
        <w:t>(6) Bu maddenin 5</w:t>
      </w:r>
      <w:r w:rsidR="007F4F82">
        <w:rPr>
          <w:rFonts w:ascii="Times New Roman" w:hAnsi="Times New Roman" w:cs="Times New Roman"/>
          <w:color w:val="000000"/>
          <w:sz w:val="24"/>
          <w:szCs w:val="24"/>
        </w:rPr>
        <w:t>’</w:t>
      </w:r>
      <w:r w:rsidRPr="00204383">
        <w:rPr>
          <w:rFonts w:ascii="Times New Roman" w:hAnsi="Times New Roman" w:cs="Times New Roman"/>
          <w:color w:val="000000"/>
          <w:sz w:val="24"/>
          <w:szCs w:val="24"/>
        </w:rPr>
        <w:t xml:space="preserve">inci fıkrasında belirtilen koşulları sağlayan tüm öğrencilerin Ham Başarı Puanlarının toplamının bu koşulları sağlayan öğrenci sayısına bölünmesi ile Düzenlenmiş Şube Ortalaması elde edilir. </w:t>
      </w:r>
    </w:p>
    <w:p w:rsidR="00E60608" w:rsidRPr="00204383" w:rsidRDefault="00E60608" w:rsidP="007F4F82">
      <w:pPr>
        <w:spacing w:after="0"/>
        <w:jc w:val="both"/>
        <w:rPr>
          <w:rFonts w:ascii="Times New Roman" w:hAnsi="Times New Roman" w:cs="Times New Roman"/>
          <w:color w:val="000000"/>
          <w:sz w:val="24"/>
          <w:szCs w:val="24"/>
        </w:rPr>
      </w:pPr>
      <w:r w:rsidRPr="00204383">
        <w:rPr>
          <w:rFonts w:ascii="Times New Roman" w:hAnsi="Times New Roman" w:cs="Times New Roman"/>
          <w:color w:val="000000"/>
          <w:sz w:val="24"/>
          <w:szCs w:val="24"/>
        </w:rPr>
        <w:t xml:space="preserve">(7) Şube standart sapması, o şubeye ait tüm öğrencilerin Ham Başarı Puanları ve şube ortalaması dikkate alınarak hesaplanır.  </w:t>
      </w:r>
    </w:p>
    <w:p w:rsidR="00E60608" w:rsidRPr="00204383" w:rsidRDefault="00E60608" w:rsidP="007F4F82">
      <w:pPr>
        <w:spacing w:after="0"/>
        <w:jc w:val="both"/>
        <w:rPr>
          <w:rFonts w:ascii="Times New Roman" w:hAnsi="Times New Roman" w:cs="Times New Roman"/>
          <w:color w:val="000000"/>
          <w:sz w:val="24"/>
          <w:szCs w:val="24"/>
        </w:rPr>
      </w:pPr>
      <w:r w:rsidRPr="00204383">
        <w:rPr>
          <w:rFonts w:ascii="Times New Roman" w:hAnsi="Times New Roman" w:cs="Times New Roman"/>
          <w:color w:val="000000"/>
          <w:sz w:val="24"/>
          <w:szCs w:val="24"/>
        </w:rPr>
        <w:t xml:space="preserve">(8) Düzenlenmiş Şube </w:t>
      </w:r>
      <w:r w:rsidR="007F4F82">
        <w:rPr>
          <w:rFonts w:ascii="Times New Roman" w:hAnsi="Times New Roman" w:cs="Times New Roman"/>
          <w:color w:val="000000"/>
          <w:sz w:val="24"/>
          <w:szCs w:val="24"/>
        </w:rPr>
        <w:t>Standart Sapması, bu maddenin 5’</w:t>
      </w:r>
      <w:r w:rsidRPr="00204383">
        <w:rPr>
          <w:rFonts w:ascii="Times New Roman" w:hAnsi="Times New Roman" w:cs="Times New Roman"/>
          <w:color w:val="000000"/>
          <w:sz w:val="24"/>
          <w:szCs w:val="24"/>
        </w:rPr>
        <w:t xml:space="preserve">inci fıkrasında belirtilen koşulları sağlayan tüm öğrencilerin Ham Başarı Puanları ve Düzenlenmiş Şube Ortalaması dikkate alınarak hesaplanır. </w:t>
      </w:r>
    </w:p>
    <w:p w:rsidR="00E60608" w:rsidRPr="00204383" w:rsidRDefault="00E60608" w:rsidP="007F4F82">
      <w:pPr>
        <w:spacing w:after="0"/>
        <w:jc w:val="both"/>
        <w:rPr>
          <w:rFonts w:ascii="Times New Roman" w:hAnsi="Times New Roman" w:cs="Times New Roman"/>
          <w:color w:val="000000"/>
          <w:sz w:val="24"/>
          <w:szCs w:val="24"/>
        </w:rPr>
      </w:pPr>
      <w:r w:rsidRPr="00204383">
        <w:rPr>
          <w:rFonts w:ascii="Times New Roman" w:hAnsi="Times New Roman" w:cs="Times New Roman"/>
          <w:color w:val="000000"/>
          <w:sz w:val="24"/>
          <w:szCs w:val="24"/>
        </w:rPr>
        <w:t>(9) Aynı öğretim elemanı tarafından verilen eşdeğer programların aynı kodlu Birinci Öğretim ve İkinci Öğretim şubeleri tek şube olarak kabul edilir.</w:t>
      </w:r>
    </w:p>
    <w:p w:rsidR="00E60608" w:rsidRPr="00204383" w:rsidRDefault="00E60608" w:rsidP="007F4F82">
      <w:pPr>
        <w:spacing w:after="0"/>
        <w:jc w:val="both"/>
        <w:rPr>
          <w:rFonts w:ascii="Times New Roman" w:hAnsi="Times New Roman" w:cs="Times New Roman"/>
          <w:color w:val="000000"/>
          <w:sz w:val="24"/>
          <w:szCs w:val="24"/>
        </w:rPr>
      </w:pPr>
      <w:r w:rsidRPr="00204383">
        <w:rPr>
          <w:rFonts w:ascii="Times New Roman" w:hAnsi="Times New Roman" w:cs="Times New Roman"/>
          <w:color w:val="000000"/>
          <w:sz w:val="24"/>
          <w:szCs w:val="24"/>
        </w:rPr>
        <w:t>(10) Aynı öğretim elemanı tarafından farklı kodla açılan ama eşdeğer kodlu ders olarak kabul edilip beraber verilen dersler tek şube olarak kabul edilir.</w:t>
      </w:r>
    </w:p>
    <w:p w:rsidR="00E60608" w:rsidRPr="00204383" w:rsidRDefault="00E60608" w:rsidP="007F4F82">
      <w:pPr>
        <w:spacing w:after="0"/>
        <w:jc w:val="both"/>
        <w:rPr>
          <w:rFonts w:ascii="Times New Roman" w:hAnsi="Times New Roman" w:cs="Times New Roman"/>
          <w:color w:val="000000"/>
          <w:sz w:val="24"/>
          <w:szCs w:val="24"/>
        </w:rPr>
      </w:pPr>
      <w:r w:rsidRPr="00204383">
        <w:rPr>
          <w:rFonts w:ascii="Times New Roman" w:hAnsi="Times New Roman" w:cs="Times New Roman"/>
          <w:color w:val="000000"/>
          <w:sz w:val="24"/>
          <w:szCs w:val="24"/>
        </w:rPr>
        <w:t xml:space="preserve">(11) Sınavları birlikte yapılan eşdeğer programların aynı kodlu veya eşdeğer kodlu birinci öğretim ve ikinci öğretim şubeleri tek şube olarak kabul edilir. </w:t>
      </w:r>
    </w:p>
    <w:p w:rsidR="00E60608" w:rsidRPr="00204383" w:rsidRDefault="00E60608" w:rsidP="007F4F82">
      <w:pPr>
        <w:spacing w:after="0"/>
        <w:jc w:val="both"/>
        <w:rPr>
          <w:rFonts w:ascii="Times New Roman" w:hAnsi="Times New Roman" w:cs="Times New Roman"/>
          <w:color w:val="000000"/>
          <w:sz w:val="24"/>
          <w:szCs w:val="24"/>
        </w:rPr>
      </w:pPr>
      <w:r w:rsidRPr="00204383">
        <w:rPr>
          <w:rFonts w:ascii="Times New Roman" w:hAnsi="Times New Roman" w:cs="Times New Roman"/>
          <w:color w:val="000000"/>
          <w:sz w:val="24"/>
          <w:szCs w:val="24"/>
        </w:rPr>
        <w:t>(12) Aşağıdaki durumlarda mutlak notlandırma sistemi kullanılır.</w:t>
      </w:r>
    </w:p>
    <w:p w:rsidR="00E60608" w:rsidRPr="00204383" w:rsidRDefault="00E60608" w:rsidP="007F4F82">
      <w:pPr>
        <w:pStyle w:val="ListeParagraf"/>
        <w:numPr>
          <w:ilvl w:val="0"/>
          <w:numId w:val="7"/>
        </w:numPr>
        <w:spacing w:after="0"/>
        <w:jc w:val="both"/>
        <w:rPr>
          <w:rFonts w:ascii="Times New Roman" w:hAnsi="Times New Roman" w:cs="Times New Roman"/>
          <w:color w:val="000000"/>
          <w:sz w:val="24"/>
          <w:szCs w:val="24"/>
        </w:rPr>
      </w:pPr>
      <w:r w:rsidRPr="00204383">
        <w:rPr>
          <w:rFonts w:ascii="Times New Roman" w:hAnsi="Times New Roman" w:cs="Times New Roman"/>
          <w:color w:val="000000"/>
          <w:sz w:val="24"/>
          <w:szCs w:val="24"/>
        </w:rPr>
        <w:t xml:space="preserve">Düzenlenmiş Şube Ortalaması hesabına </w:t>
      </w:r>
      <w:r w:rsidR="00204383" w:rsidRPr="00204383">
        <w:rPr>
          <w:rFonts w:ascii="Times New Roman" w:hAnsi="Times New Roman" w:cs="Times New Roman"/>
          <w:color w:val="000000"/>
          <w:sz w:val="24"/>
          <w:szCs w:val="24"/>
        </w:rPr>
        <w:t>dâhil</w:t>
      </w:r>
      <w:r w:rsidRPr="00204383">
        <w:rPr>
          <w:rFonts w:ascii="Times New Roman" w:hAnsi="Times New Roman" w:cs="Times New Roman"/>
          <w:color w:val="000000"/>
          <w:sz w:val="24"/>
          <w:szCs w:val="24"/>
        </w:rPr>
        <w:t xml:space="preserve"> olan öğrenci sayısının 15’in altında olduğu şubelerde,</w:t>
      </w:r>
    </w:p>
    <w:p w:rsidR="00E60608" w:rsidRPr="00204383" w:rsidRDefault="00E60608" w:rsidP="007F4F82">
      <w:pPr>
        <w:pStyle w:val="ListeParagraf"/>
        <w:numPr>
          <w:ilvl w:val="0"/>
          <w:numId w:val="7"/>
        </w:numPr>
        <w:spacing w:after="0"/>
        <w:jc w:val="both"/>
        <w:rPr>
          <w:rFonts w:ascii="Times New Roman" w:hAnsi="Times New Roman" w:cs="Times New Roman"/>
          <w:color w:val="000000"/>
          <w:sz w:val="24"/>
          <w:szCs w:val="24"/>
        </w:rPr>
      </w:pPr>
      <w:r w:rsidRPr="00204383">
        <w:rPr>
          <w:rFonts w:ascii="Times New Roman" w:hAnsi="Times New Roman" w:cs="Times New Roman"/>
          <w:color w:val="000000"/>
          <w:sz w:val="24"/>
          <w:szCs w:val="24"/>
        </w:rPr>
        <w:t>Muafiyet sınavı, üç ders sınavı, ek sınavlar gibi yalnızca sınav sonucuna göre başarının belirlendiği durumlarda,</w:t>
      </w:r>
    </w:p>
    <w:p w:rsidR="00E60608" w:rsidRPr="00204383" w:rsidRDefault="00204383" w:rsidP="007F4F82">
      <w:pPr>
        <w:pStyle w:val="ListeParagraf"/>
        <w:numPr>
          <w:ilvl w:val="0"/>
          <w:numId w:val="7"/>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Ham Başarı Puanının </w:t>
      </w:r>
      <w:r w:rsidR="00E60608" w:rsidRPr="00204383">
        <w:rPr>
          <w:rFonts w:ascii="Times New Roman" w:hAnsi="Times New Roman" w:cs="Times New Roman"/>
          <w:color w:val="000000"/>
          <w:sz w:val="24"/>
          <w:szCs w:val="24"/>
        </w:rPr>
        <w:t xml:space="preserve">bütünleme sınavı sonucuna göre hesaplandığı durumlarda, </w:t>
      </w:r>
    </w:p>
    <w:p w:rsidR="00E60608" w:rsidRPr="00204383" w:rsidRDefault="00E60608" w:rsidP="007F4F82">
      <w:pPr>
        <w:pStyle w:val="ListeParagraf"/>
        <w:numPr>
          <w:ilvl w:val="0"/>
          <w:numId w:val="7"/>
        </w:numPr>
        <w:spacing w:after="0"/>
        <w:jc w:val="both"/>
        <w:rPr>
          <w:rFonts w:ascii="Times New Roman" w:hAnsi="Times New Roman" w:cs="Times New Roman"/>
          <w:color w:val="000000"/>
          <w:sz w:val="24"/>
          <w:szCs w:val="24"/>
        </w:rPr>
      </w:pPr>
      <w:r w:rsidRPr="00204383">
        <w:rPr>
          <w:rFonts w:ascii="Times New Roman" w:hAnsi="Times New Roman" w:cs="Times New Roman"/>
          <w:color w:val="000000"/>
          <w:sz w:val="24"/>
          <w:szCs w:val="24"/>
        </w:rPr>
        <w:t>Staj, tez/proje, seminer, işyeri eğitimi, stüdyo/tasarım gibi öğrencinin bireysel performansının ön planda olduğu derslerde,</w:t>
      </w:r>
    </w:p>
    <w:p w:rsidR="00E60608" w:rsidRPr="00204383" w:rsidRDefault="00E60608" w:rsidP="007F4F82">
      <w:pPr>
        <w:pStyle w:val="ListeParagraf"/>
        <w:numPr>
          <w:ilvl w:val="0"/>
          <w:numId w:val="7"/>
        </w:numPr>
        <w:spacing w:after="0"/>
        <w:jc w:val="both"/>
        <w:rPr>
          <w:rFonts w:ascii="Times New Roman" w:hAnsi="Times New Roman" w:cs="Times New Roman"/>
          <w:color w:val="000000"/>
          <w:sz w:val="24"/>
          <w:szCs w:val="24"/>
        </w:rPr>
      </w:pPr>
      <w:r w:rsidRPr="00204383">
        <w:rPr>
          <w:rFonts w:ascii="Times New Roman" w:hAnsi="Times New Roman" w:cs="Times New Roman"/>
          <w:color w:val="000000"/>
          <w:sz w:val="24"/>
          <w:szCs w:val="24"/>
        </w:rPr>
        <w:t>Standart sapmanın sıfır olduğu durumlarda.</w:t>
      </w:r>
    </w:p>
    <w:p w:rsidR="00E60608" w:rsidRPr="00204383" w:rsidRDefault="00E60608" w:rsidP="007F4F82">
      <w:pPr>
        <w:spacing w:after="0"/>
        <w:jc w:val="both"/>
        <w:rPr>
          <w:rFonts w:ascii="Times New Roman" w:hAnsi="Times New Roman" w:cs="Times New Roman"/>
          <w:color w:val="000000"/>
          <w:sz w:val="24"/>
          <w:szCs w:val="24"/>
        </w:rPr>
      </w:pPr>
      <w:r w:rsidRPr="00204383">
        <w:rPr>
          <w:rFonts w:ascii="Times New Roman" w:hAnsi="Times New Roman" w:cs="Times New Roman"/>
          <w:color w:val="000000"/>
          <w:sz w:val="24"/>
          <w:szCs w:val="24"/>
        </w:rPr>
        <w:t>(13) Mutlak notlandırma kullanıldığı durumlarda Ham Başarı Puanı öğrencinin Başarı Puanı olarak kabul edilir.</w:t>
      </w:r>
    </w:p>
    <w:p w:rsidR="00E60608" w:rsidRPr="00204383" w:rsidRDefault="007F4F82" w:rsidP="007F4F8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(14) Bu maddenin 12’</w:t>
      </w:r>
      <w:r w:rsidR="00E60608" w:rsidRPr="00204383">
        <w:rPr>
          <w:rFonts w:ascii="Times New Roman" w:hAnsi="Times New Roman" w:cs="Times New Roman"/>
          <w:color w:val="000000"/>
          <w:sz w:val="24"/>
          <w:szCs w:val="24"/>
        </w:rPr>
        <w:t>nci fıkrasında tanımlanan is</w:t>
      </w:r>
      <w:r w:rsidR="005E1223">
        <w:rPr>
          <w:rFonts w:ascii="Times New Roman" w:hAnsi="Times New Roman" w:cs="Times New Roman"/>
          <w:color w:val="000000"/>
          <w:sz w:val="24"/>
          <w:szCs w:val="24"/>
        </w:rPr>
        <w:t>tisnalar dışında tüm şubelerde Bağıl Notlandırma S</w:t>
      </w:r>
      <w:r w:rsidR="00E60608" w:rsidRPr="00204383">
        <w:rPr>
          <w:rFonts w:ascii="Times New Roman" w:hAnsi="Times New Roman" w:cs="Times New Roman"/>
          <w:color w:val="000000"/>
          <w:sz w:val="24"/>
          <w:szCs w:val="24"/>
        </w:rPr>
        <w:t>istemi kullanılır.</w:t>
      </w:r>
    </w:p>
    <w:p w:rsidR="0016712A" w:rsidRDefault="00E60608" w:rsidP="007F4F82">
      <w:pPr>
        <w:spacing w:after="0"/>
        <w:jc w:val="both"/>
        <w:rPr>
          <w:rFonts w:ascii="Times New Roman" w:hAnsi="Times New Roman" w:cs="Times New Roman"/>
          <w:color w:val="000000"/>
          <w:sz w:val="24"/>
          <w:szCs w:val="24"/>
        </w:rPr>
      </w:pPr>
      <w:r w:rsidRPr="00204383">
        <w:rPr>
          <w:rFonts w:ascii="Times New Roman" w:hAnsi="Times New Roman" w:cs="Times New Roman"/>
          <w:color w:val="000000"/>
          <w:sz w:val="24"/>
          <w:szCs w:val="24"/>
        </w:rPr>
        <w:t>(15) Öğrencinin Bağıl Başarı Puanı (BBP) aşağıdaki formüle göre hesaplanır:</w:t>
      </w:r>
    </w:p>
    <w:p w:rsidR="0016712A" w:rsidRDefault="0016712A" w:rsidP="007F4F82">
      <w:pPr>
        <w:spacing w:after="0"/>
        <w:jc w:val="both"/>
        <w:rPr>
          <w:rFonts w:ascii="Times New Roman" w:hAnsi="Times New Roman" w:cs="Times New Roman"/>
          <w:color w:val="000000"/>
          <w:sz w:val="24"/>
          <w:szCs w:val="24"/>
        </w:rPr>
      </w:pPr>
    </w:p>
    <w:p w:rsidR="00E60608" w:rsidRPr="00204383" w:rsidRDefault="00E60608" w:rsidP="007F4F82">
      <w:pPr>
        <w:spacing w:after="0"/>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BBP=60+ </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 xml:space="preserve">HBP-DO </m:t>
                  </m:r>
                </m:num>
                <m:den>
                  <m:r>
                    <w:rPr>
                      <w:rFonts w:ascii="Cambria Math" w:hAnsi="Cambria Math" w:cs="Times New Roman"/>
                      <w:sz w:val="24"/>
                      <w:szCs w:val="24"/>
                    </w:rPr>
                    <m:t>DSS</m:t>
                  </m:r>
                </m:den>
              </m:f>
              <m:r>
                <w:rPr>
                  <w:rFonts w:ascii="Cambria Math" w:hAnsi="Cambria Math" w:cs="Times New Roman"/>
                  <w:sz w:val="24"/>
                  <w:szCs w:val="24"/>
                </w:rPr>
                <m:t xml:space="preserve"> </m:t>
              </m:r>
            </m:e>
          </m:d>
          <m:r>
            <w:rPr>
              <w:rFonts w:ascii="Cambria Math" w:hAnsi="Cambria Math" w:cs="Times New Roman"/>
              <w:sz w:val="24"/>
              <w:szCs w:val="24"/>
            </w:rPr>
            <m:t xml:space="preserve"> . 15</m:t>
          </m:r>
        </m:oMath>
      </m:oMathPara>
    </w:p>
    <w:p w:rsidR="0016712A" w:rsidRDefault="0016712A" w:rsidP="007F4F82">
      <w:pPr>
        <w:spacing w:after="0"/>
        <w:jc w:val="both"/>
        <w:rPr>
          <w:rFonts w:ascii="Times New Roman" w:eastAsiaTheme="minorEastAsia" w:hAnsi="Times New Roman" w:cs="Times New Roman"/>
          <w:sz w:val="24"/>
          <w:szCs w:val="24"/>
        </w:rPr>
      </w:pPr>
    </w:p>
    <w:p w:rsidR="00E60608" w:rsidRPr="00204383" w:rsidRDefault="00E60608" w:rsidP="007F4F82">
      <w:pPr>
        <w:spacing w:after="0"/>
        <w:jc w:val="both"/>
        <w:rPr>
          <w:rFonts w:ascii="Times New Roman" w:eastAsiaTheme="minorEastAsia" w:hAnsi="Times New Roman" w:cs="Times New Roman"/>
          <w:sz w:val="24"/>
          <w:szCs w:val="24"/>
        </w:rPr>
      </w:pPr>
      <w:r w:rsidRPr="00204383">
        <w:rPr>
          <w:rFonts w:ascii="Times New Roman" w:eastAsiaTheme="minorEastAsia" w:hAnsi="Times New Roman" w:cs="Times New Roman"/>
          <w:sz w:val="24"/>
          <w:szCs w:val="24"/>
        </w:rPr>
        <w:t xml:space="preserve">HBP: Öğrencinin Ham Başarı Puanı </w:t>
      </w:r>
    </w:p>
    <w:p w:rsidR="00E60608" w:rsidRPr="00204383" w:rsidRDefault="00E60608" w:rsidP="007F4F82">
      <w:pPr>
        <w:spacing w:after="0"/>
        <w:jc w:val="both"/>
        <w:rPr>
          <w:rFonts w:ascii="Times New Roman" w:eastAsiaTheme="minorEastAsia" w:hAnsi="Times New Roman" w:cs="Times New Roman"/>
          <w:sz w:val="24"/>
          <w:szCs w:val="24"/>
        </w:rPr>
      </w:pPr>
      <w:r w:rsidRPr="00204383">
        <w:rPr>
          <w:rFonts w:ascii="Times New Roman" w:eastAsiaTheme="minorEastAsia" w:hAnsi="Times New Roman" w:cs="Times New Roman"/>
          <w:sz w:val="24"/>
          <w:szCs w:val="24"/>
        </w:rPr>
        <w:t>DO: Düzenlenmiş Şube Ortalaması</w:t>
      </w:r>
    </w:p>
    <w:p w:rsidR="00E60608" w:rsidRDefault="00E60608" w:rsidP="007F4F82">
      <w:pPr>
        <w:spacing w:after="0"/>
        <w:jc w:val="both"/>
        <w:rPr>
          <w:rFonts w:ascii="Times New Roman" w:eastAsiaTheme="minorEastAsia" w:hAnsi="Times New Roman" w:cs="Times New Roman"/>
          <w:sz w:val="24"/>
          <w:szCs w:val="24"/>
        </w:rPr>
      </w:pPr>
      <w:r w:rsidRPr="00204383">
        <w:rPr>
          <w:rFonts w:ascii="Times New Roman" w:eastAsiaTheme="minorEastAsia" w:hAnsi="Times New Roman" w:cs="Times New Roman"/>
          <w:sz w:val="24"/>
          <w:szCs w:val="24"/>
        </w:rPr>
        <w:t>DSS: Düzenlenmiş Şube Standart Sapması</w:t>
      </w:r>
    </w:p>
    <w:p w:rsidR="00F276DA" w:rsidRPr="00204383" w:rsidRDefault="00F276DA" w:rsidP="007F4F82">
      <w:pPr>
        <w:spacing w:after="0"/>
        <w:jc w:val="both"/>
        <w:rPr>
          <w:rFonts w:ascii="Times New Roman" w:eastAsiaTheme="minorEastAsia" w:hAnsi="Times New Roman" w:cs="Times New Roman"/>
          <w:sz w:val="24"/>
          <w:szCs w:val="24"/>
        </w:rPr>
      </w:pPr>
    </w:p>
    <w:p w:rsidR="00204383" w:rsidRPr="00204383" w:rsidRDefault="00204383" w:rsidP="007F4F82">
      <w:pPr>
        <w:spacing w:after="0"/>
        <w:jc w:val="both"/>
        <w:rPr>
          <w:rFonts w:ascii="Times New Roman" w:hAnsi="Times New Roman" w:cs="Times New Roman"/>
          <w:color w:val="000000"/>
          <w:sz w:val="24"/>
          <w:szCs w:val="24"/>
        </w:rPr>
      </w:pPr>
      <w:r w:rsidRPr="00204383">
        <w:rPr>
          <w:rFonts w:ascii="Times New Roman" w:hAnsi="Times New Roman" w:cs="Times New Roman"/>
          <w:color w:val="000000"/>
          <w:sz w:val="24"/>
          <w:szCs w:val="24"/>
        </w:rPr>
        <w:t>(16) Bağıl Başarı Puanı, 0 ile 100 arası tam sayı olarak yuvarlanarak belirlenir. 0 dan küçük puanlar 0 olarak, 100 den büyük puanlar da 100 olarak kabul edilir.</w:t>
      </w:r>
    </w:p>
    <w:p w:rsidR="00204383" w:rsidRPr="00204383" w:rsidRDefault="00204383" w:rsidP="007F4F82">
      <w:pPr>
        <w:spacing w:after="0"/>
        <w:jc w:val="both"/>
        <w:rPr>
          <w:rFonts w:ascii="Times New Roman" w:hAnsi="Times New Roman" w:cs="Times New Roman"/>
          <w:color w:val="000000"/>
          <w:sz w:val="24"/>
          <w:szCs w:val="24"/>
        </w:rPr>
      </w:pPr>
      <w:r w:rsidRPr="00204383">
        <w:rPr>
          <w:rFonts w:ascii="Times New Roman" w:hAnsi="Times New Roman" w:cs="Times New Roman"/>
          <w:color w:val="000000"/>
          <w:sz w:val="24"/>
          <w:szCs w:val="24"/>
        </w:rPr>
        <w:t>(17) Öğrencinin Bağıl Başarı Puanı veya Ham Başarı Puanı</w:t>
      </w:r>
      <w:r w:rsidR="005E1223">
        <w:rPr>
          <w:rFonts w:ascii="Times New Roman" w:hAnsi="Times New Roman" w:cs="Times New Roman"/>
          <w:color w:val="000000"/>
          <w:sz w:val="24"/>
          <w:szCs w:val="24"/>
        </w:rPr>
        <w:t>ndan hangisi yüksek ise o puan B</w:t>
      </w:r>
      <w:r w:rsidRPr="00204383">
        <w:rPr>
          <w:rFonts w:ascii="Times New Roman" w:hAnsi="Times New Roman" w:cs="Times New Roman"/>
          <w:color w:val="000000"/>
          <w:sz w:val="24"/>
          <w:szCs w:val="24"/>
        </w:rPr>
        <w:t>aşa</w:t>
      </w:r>
      <w:r w:rsidR="005E1223">
        <w:rPr>
          <w:rFonts w:ascii="Times New Roman" w:hAnsi="Times New Roman" w:cs="Times New Roman"/>
          <w:color w:val="000000"/>
          <w:sz w:val="24"/>
          <w:szCs w:val="24"/>
        </w:rPr>
        <w:t>rı P</w:t>
      </w:r>
      <w:r w:rsidRPr="00204383">
        <w:rPr>
          <w:rFonts w:ascii="Times New Roman" w:hAnsi="Times New Roman" w:cs="Times New Roman"/>
          <w:color w:val="000000"/>
          <w:sz w:val="24"/>
          <w:szCs w:val="24"/>
        </w:rPr>
        <w:t xml:space="preserve">uanı olarak kabul edilir. </w:t>
      </w:r>
    </w:p>
    <w:p w:rsidR="00204383" w:rsidRPr="00204383" w:rsidRDefault="00204383" w:rsidP="007F4F82">
      <w:pPr>
        <w:spacing w:after="0"/>
        <w:jc w:val="both"/>
        <w:rPr>
          <w:rFonts w:ascii="Times New Roman" w:hAnsi="Times New Roman" w:cs="Times New Roman"/>
          <w:color w:val="000000"/>
          <w:sz w:val="24"/>
          <w:szCs w:val="24"/>
        </w:rPr>
      </w:pPr>
      <w:r w:rsidRPr="00204383">
        <w:rPr>
          <w:rFonts w:ascii="Times New Roman" w:hAnsi="Times New Roman" w:cs="Times New Roman"/>
          <w:color w:val="000000"/>
          <w:sz w:val="24"/>
          <w:szCs w:val="24"/>
        </w:rPr>
        <w:t>(18) Derse devam koşulunu yerine getirmeyen öğrencilere F2 notu verilir.</w:t>
      </w:r>
    </w:p>
    <w:p w:rsidR="00204383" w:rsidRPr="00204383" w:rsidRDefault="00204383" w:rsidP="007F4F82">
      <w:pPr>
        <w:spacing w:after="0"/>
        <w:jc w:val="both"/>
        <w:rPr>
          <w:rFonts w:ascii="Times New Roman" w:hAnsi="Times New Roman" w:cs="Times New Roman"/>
          <w:color w:val="000000"/>
          <w:sz w:val="24"/>
          <w:szCs w:val="24"/>
        </w:rPr>
      </w:pPr>
      <w:r w:rsidRPr="00204383">
        <w:rPr>
          <w:rFonts w:ascii="Times New Roman" w:hAnsi="Times New Roman" w:cs="Times New Roman"/>
          <w:color w:val="000000"/>
          <w:sz w:val="24"/>
          <w:szCs w:val="24"/>
        </w:rPr>
        <w:lastRenderedPageBreak/>
        <w:t xml:space="preserve">(19) Dönem sonu sınavında başarısız olan ya da koşullu geçer not alan öğrenciler bütünleme sınavına girebilirler. </w:t>
      </w:r>
    </w:p>
    <w:p w:rsidR="00204383" w:rsidRPr="00204383" w:rsidRDefault="00204383" w:rsidP="007F4F82">
      <w:pPr>
        <w:spacing w:after="0"/>
        <w:jc w:val="both"/>
        <w:rPr>
          <w:rFonts w:ascii="Times New Roman" w:hAnsi="Times New Roman" w:cs="Times New Roman"/>
          <w:color w:val="000000"/>
          <w:sz w:val="24"/>
          <w:szCs w:val="24"/>
        </w:rPr>
      </w:pPr>
      <w:r w:rsidRPr="00204383">
        <w:rPr>
          <w:rFonts w:ascii="Times New Roman" w:hAnsi="Times New Roman" w:cs="Times New Roman"/>
          <w:color w:val="000000"/>
          <w:sz w:val="24"/>
          <w:szCs w:val="24"/>
        </w:rPr>
        <w:t xml:space="preserve">(20) Yüksek Lisans/Bilimsel Hazırlık öğrencilerinin lisans düzeyinden ders alması durumunda, bu öğrencilerin almış olduğu notlar şube ortalamalarına dâhil edilmez. Bu öğrencilerinin Ham Başarı Puanları </w:t>
      </w:r>
      <w:r w:rsidR="005E1223">
        <w:rPr>
          <w:rFonts w:ascii="Times New Roman" w:hAnsi="Times New Roman" w:cs="Times New Roman"/>
          <w:color w:val="000000"/>
          <w:sz w:val="24"/>
          <w:szCs w:val="24"/>
        </w:rPr>
        <w:t>Başarı P</w:t>
      </w:r>
      <w:r w:rsidRPr="00204383">
        <w:rPr>
          <w:rFonts w:ascii="Times New Roman" w:hAnsi="Times New Roman" w:cs="Times New Roman"/>
          <w:color w:val="000000"/>
          <w:sz w:val="24"/>
          <w:szCs w:val="24"/>
        </w:rPr>
        <w:t>uanı olarak kabul edilir.</w:t>
      </w:r>
    </w:p>
    <w:p w:rsidR="00204383" w:rsidRPr="00204383" w:rsidRDefault="00204383" w:rsidP="007F4F82">
      <w:pPr>
        <w:spacing w:after="0"/>
        <w:jc w:val="both"/>
        <w:rPr>
          <w:rFonts w:ascii="Times New Roman" w:hAnsi="Times New Roman" w:cs="Times New Roman"/>
          <w:color w:val="000000"/>
          <w:sz w:val="24"/>
          <w:szCs w:val="24"/>
        </w:rPr>
      </w:pPr>
      <w:r w:rsidRPr="00204383">
        <w:rPr>
          <w:rFonts w:ascii="Times New Roman" w:hAnsi="Times New Roman" w:cs="Times New Roman"/>
          <w:color w:val="000000"/>
          <w:sz w:val="24"/>
          <w:szCs w:val="24"/>
        </w:rPr>
        <w:t>(21) Dönem sonu sınavına girmeyen ya da dönem sonu sınavından 30</w:t>
      </w:r>
      <w:r w:rsidR="007F4F82">
        <w:rPr>
          <w:rFonts w:ascii="Times New Roman" w:hAnsi="Times New Roman" w:cs="Times New Roman"/>
          <w:color w:val="000000"/>
          <w:sz w:val="24"/>
          <w:szCs w:val="24"/>
        </w:rPr>
        <w:t>’</w:t>
      </w:r>
      <w:r w:rsidRPr="00204383">
        <w:rPr>
          <w:rFonts w:ascii="Times New Roman" w:hAnsi="Times New Roman" w:cs="Times New Roman"/>
          <w:color w:val="000000"/>
          <w:sz w:val="24"/>
          <w:szCs w:val="24"/>
        </w:rPr>
        <w:t xml:space="preserve">un altında puan alan öğrencilerin F1 ile başarısız olduğu kabul edilir.  </w:t>
      </w:r>
    </w:p>
    <w:p w:rsidR="00204383" w:rsidRPr="00204383" w:rsidRDefault="007F4F82" w:rsidP="007F4F8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(22) Ham Başarı Puanı 40’</w:t>
      </w:r>
      <w:r w:rsidR="00204383" w:rsidRPr="00204383">
        <w:rPr>
          <w:rFonts w:ascii="Times New Roman" w:hAnsi="Times New Roman" w:cs="Times New Roman"/>
          <w:color w:val="000000"/>
          <w:sz w:val="24"/>
          <w:szCs w:val="24"/>
        </w:rPr>
        <w:t xml:space="preserve">ın altındaki öğrencilerin F1 ile başarısız olduğu kabul edilir. </w:t>
      </w:r>
    </w:p>
    <w:p w:rsidR="00204383" w:rsidRDefault="00204383" w:rsidP="007F4F82">
      <w:pPr>
        <w:autoSpaceDE w:val="0"/>
        <w:autoSpaceDN w:val="0"/>
        <w:adjustRightInd w:val="0"/>
        <w:spacing w:after="0"/>
        <w:jc w:val="both"/>
        <w:rPr>
          <w:rFonts w:ascii="Times New Roman" w:hAnsi="Times New Roman" w:cs="Times New Roman"/>
          <w:b/>
          <w:color w:val="000000"/>
          <w:sz w:val="24"/>
          <w:szCs w:val="24"/>
        </w:rPr>
      </w:pPr>
    </w:p>
    <w:p w:rsidR="00204383" w:rsidRPr="00204383" w:rsidRDefault="00204383" w:rsidP="007F4F82">
      <w:pPr>
        <w:autoSpaceDE w:val="0"/>
        <w:autoSpaceDN w:val="0"/>
        <w:adjustRightInd w:val="0"/>
        <w:spacing w:after="0"/>
        <w:jc w:val="both"/>
        <w:rPr>
          <w:rFonts w:ascii="Times New Roman" w:hAnsi="Times New Roman" w:cs="Times New Roman"/>
          <w:b/>
          <w:color w:val="000000"/>
          <w:sz w:val="24"/>
          <w:szCs w:val="24"/>
        </w:rPr>
      </w:pPr>
      <w:r w:rsidRPr="00204383">
        <w:rPr>
          <w:rFonts w:ascii="Times New Roman" w:hAnsi="Times New Roman" w:cs="Times New Roman"/>
          <w:b/>
          <w:color w:val="000000"/>
          <w:sz w:val="24"/>
          <w:szCs w:val="24"/>
        </w:rPr>
        <w:t>2018-2019 Eğitim-Öğretim Yılı ve Sonrasında Üniversite’ye Kayıt Olan Öğrencilere İlişkin Hükümler</w:t>
      </w:r>
    </w:p>
    <w:p w:rsidR="00204383" w:rsidRPr="00204383" w:rsidRDefault="00204383" w:rsidP="007F4F82">
      <w:pPr>
        <w:autoSpaceDE w:val="0"/>
        <w:autoSpaceDN w:val="0"/>
        <w:adjustRightInd w:val="0"/>
        <w:spacing w:after="0"/>
        <w:jc w:val="both"/>
        <w:rPr>
          <w:rFonts w:ascii="Times New Roman" w:hAnsi="Times New Roman" w:cs="Times New Roman"/>
          <w:sz w:val="24"/>
          <w:szCs w:val="24"/>
        </w:rPr>
      </w:pPr>
      <w:r w:rsidRPr="00204383">
        <w:rPr>
          <w:rFonts w:ascii="Times New Roman" w:hAnsi="Times New Roman" w:cs="Times New Roman"/>
          <w:b/>
          <w:sz w:val="24"/>
          <w:szCs w:val="24"/>
        </w:rPr>
        <w:t>Madde 6</w:t>
      </w:r>
      <w:r w:rsidRPr="00204383">
        <w:rPr>
          <w:rFonts w:ascii="Times New Roman" w:hAnsi="Times New Roman" w:cs="Times New Roman"/>
          <w:sz w:val="24"/>
          <w:szCs w:val="24"/>
        </w:rPr>
        <w:t xml:space="preserve"> – (1) Aşağıda belirtilen öğrencilerin başarı değerlendirmelerinde bu madde kapsamındaki hükümler uygulanır.</w:t>
      </w:r>
    </w:p>
    <w:p w:rsidR="00204383" w:rsidRPr="00204383" w:rsidRDefault="00204383" w:rsidP="007F4F82">
      <w:pPr>
        <w:pStyle w:val="ListeParagraf"/>
        <w:numPr>
          <w:ilvl w:val="0"/>
          <w:numId w:val="8"/>
        </w:numPr>
        <w:autoSpaceDE w:val="0"/>
        <w:autoSpaceDN w:val="0"/>
        <w:adjustRightInd w:val="0"/>
        <w:spacing w:after="0"/>
        <w:jc w:val="both"/>
        <w:rPr>
          <w:rFonts w:ascii="Times New Roman" w:hAnsi="Times New Roman" w:cs="Times New Roman"/>
          <w:sz w:val="24"/>
          <w:szCs w:val="24"/>
        </w:rPr>
      </w:pPr>
      <w:r w:rsidRPr="00204383">
        <w:rPr>
          <w:rFonts w:ascii="Times New Roman" w:hAnsi="Times New Roman" w:cs="Times New Roman"/>
          <w:sz w:val="24"/>
          <w:szCs w:val="24"/>
        </w:rPr>
        <w:t>2018-2019 eğitim öğretim yılında ve sonrasında Üniversiteye ilk defa kayıt olan öğrenciler,</w:t>
      </w:r>
    </w:p>
    <w:p w:rsidR="00204383" w:rsidRPr="00204383" w:rsidRDefault="00204383" w:rsidP="007F4F82">
      <w:pPr>
        <w:pStyle w:val="ListeParagraf"/>
        <w:numPr>
          <w:ilvl w:val="0"/>
          <w:numId w:val="8"/>
        </w:numPr>
        <w:autoSpaceDE w:val="0"/>
        <w:autoSpaceDN w:val="0"/>
        <w:adjustRightInd w:val="0"/>
        <w:spacing w:after="0"/>
        <w:jc w:val="both"/>
        <w:rPr>
          <w:rFonts w:ascii="Times New Roman" w:hAnsi="Times New Roman" w:cs="Times New Roman"/>
          <w:sz w:val="24"/>
          <w:szCs w:val="24"/>
        </w:rPr>
      </w:pPr>
      <w:r w:rsidRPr="00204383">
        <w:rPr>
          <w:rFonts w:ascii="Times New Roman" w:hAnsi="Times New Roman" w:cs="Times New Roman"/>
          <w:sz w:val="24"/>
          <w:szCs w:val="24"/>
        </w:rPr>
        <w:t>Hazırlık okuyup 2018-2019 eğitim- öğretim yılında programından ilk defa ders ala</w:t>
      </w:r>
      <w:r w:rsidR="005E1223">
        <w:rPr>
          <w:rFonts w:ascii="Times New Roman" w:hAnsi="Times New Roman" w:cs="Times New Roman"/>
          <w:sz w:val="24"/>
          <w:szCs w:val="24"/>
        </w:rPr>
        <w:t>n</w:t>
      </w:r>
      <w:r w:rsidRPr="00204383">
        <w:rPr>
          <w:rFonts w:ascii="Times New Roman" w:hAnsi="Times New Roman" w:cs="Times New Roman"/>
          <w:sz w:val="24"/>
          <w:szCs w:val="24"/>
        </w:rPr>
        <w:t xml:space="preserve"> öğrenciler,</w:t>
      </w:r>
    </w:p>
    <w:p w:rsidR="00204383" w:rsidRPr="00204383" w:rsidRDefault="00204383" w:rsidP="007F4F82">
      <w:pPr>
        <w:pStyle w:val="ListeParagraf"/>
        <w:numPr>
          <w:ilvl w:val="0"/>
          <w:numId w:val="8"/>
        </w:numPr>
        <w:autoSpaceDE w:val="0"/>
        <w:autoSpaceDN w:val="0"/>
        <w:adjustRightInd w:val="0"/>
        <w:spacing w:after="0"/>
        <w:jc w:val="both"/>
        <w:rPr>
          <w:rFonts w:ascii="Times New Roman" w:hAnsi="Times New Roman" w:cs="Times New Roman"/>
          <w:sz w:val="24"/>
          <w:szCs w:val="24"/>
        </w:rPr>
      </w:pPr>
      <w:r w:rsidRPr="00204383">
        <w:rPr>
          <w:rFonts w:ascii="Times New Roman" w:hAnsi="Times New Roman" w:cs="Times New Roman"/>
          <w:sz w:val="24"/>
          <w:szCs w:val="24"/>
        </w:rPr>
        <w:t>Daha önce ders almayıp ilk defa 2018-2019 eğitim öğretim yılında ve sonrasında programından ders ala</w:t>
      </w:r>
      <w:r w:rsidR="005E1223">
        <w:rPr>
          <w:rFonts w:ascii="Times New Roman" w:hAnsi="Times New Roman" w:cs="Times New Roman"/>
          <w:sz w:val="24"/>
          <w:szCs w:val="24"/>
        </w:rPr>
        <w:t xml:space="preserve">n </w:t>
      </w:r>
      <w:r w:rsidRPr="00204383">
        <w:rPr>
          <w:rFonts w:ascii="Times New Roman" w:hAnsi="Times New Roman" w:cs="Times New Roman"/>
          <w:sz w:val="24"/>
          <w:szCs w:val="24"/>
        </w:rPr>
        <w:t>öğrenciler.</w:t>
      </w:r>
    </w:p>
    <w:p w:rsidR="00E60608" w:rsidRPr="00204383" w:rsidRDefault="00204383" w:rsidP="007F4F82">
      <w:pPr>
        <w:spacing w:after="0"/>
        <w:jc w:val="both"/>
        <w:rPr>
          <w:rFonts w:ascii="Times New Roman" w:hAnsi="Times New Roman" w:cs="Times New Roman"/>
          <w:sz w:val="24"/>
          <w:szCs w:val="24"/>
        </w:rPr>
      </w:pPr>
      <w:r w:rsidRPr="00204383">
        <w:rPr>
          <w:rFonts w:ascii="Times New Roman" w:hAnsi="Times New Roman" w:cs="Times New Roman"/>
          <w:sz w:val="24"/>
          <w:szCs w:val="24"/>
        </w:rPr>
        <w:t>(</w:t>
      </w:r>
      <w:r w:rsidR="005E1223">
        <w:rPr>
          <w:rFonts w:ascii="Times New Roman" w:hAnsi="Times New Roman" w:cs="Times New Roman"/>
          <w:sz w:val="24"/>
          <w:szCs w:val="24"/>
        </w:rPr>
        <w:t>2) Başarı Puanlarına karşılık gelen Başarı Notları, Başarı Notu K</w:t>
      </w:r>
      <w:r w:rsidRPr="00204383">
        <w:rPr>
          <w:rFonts w:ascii="Times New Roman" w:hAnsi="Times New Roman" w:cs="Times New Roman"/>
          <w:sz w:val="24"/>
          <w:szCs w:val="24"/>
        </w:rPr>
        <w:t>atsayısı ve bu başarı notlarının geçer not, koşullu geçer not ya da başarısız not olarak karşılıkları Tablo 1’de sunulmuştur.</w:t>
      </w:r>
    </w:p>
    <w:p w:rsidR="00204383" w:rsidRDefault="00204383" w:rsidP="007F4F82">
      <w:pPr>
        <w:autoSpaceDE w:val="0"/>
        <w:autoSpaceDN w:val="0"/>
        <w:adjustRightInd w:val="0"/>
        <w:spacing w:after="0"/>
        <w:jc w:val="both"/>
        <w:rPr>
          <w:rFonts w:ascii="Times New Roman" w:hAnsi="Times New Roman" w:cs="Times New Roman"/>
          <w:b/>
          <w:sz w:val="24"/>
          <w:szCs w:val="24"/>
        </w:rPr>
      </w:pPr>
    </w:p>
    <w:p w:rsidR="00204383" w:rsidRPr="00204383" w:rsidRDefault="00204383" w:rsidP="007F4F82">
      <w:pPr>
        <w:autoSpaceDE w:val="0"/>
        <w:autoSpaceDN w:val="0"/>
        <w:adjustRightInd w:val="0"/>
        <w:spacing w:after="0"/>
        <w:jc w:val="both"/>
        <w:rPr>
          <w:rFonts w:ascii="Times New Roman" w:hAnsi="Times New Roman" w:cs="Times New Roman"/>
          <w:b/>
          <w:sz w:val="24"/>
          <w:szCs w:val="24"/>
        </w:rPr>
      </w:pPr>
      <w:r w:rsidRPr="00204383">
        <w:rPr>
          <w:rFonts w:ascii="Times New Roman" w:hAnsi="Times New Roman" w:cs="Times New Roman"/>
          <w:b/>
          <w:sz w:val="24"/>
          <w:szCs w:val="24"/>
        </w:rPr>
        <w:t xml:space="preserve">Tablo 1. </w:t>
      </w:r>
      <w:r w:rsidRPr="00204383">
        <w:rPr>
          <w:rFonts w:ascii="Times New Roman" w:hAnsi="Times New Roman" w:cs="Times New Roman"/>
          <w:b/>
          <w:color w:val="000000"/>
          <w:sz w:val="24"/>
          <w:szCs w:val="24"/>
        </w:rPr>
        <w:t>2018-2019 Eğitim-Öğretim Yılı ve Sonrasında Üniversite’ye Kayıt Olan Öğrenciler</w:t>
      </w:r>
      <w:r w:rsidRPr="00204383">
        <w:rPr>
          <w:rFonts w:ascii="Times New Roman" w:hAnsi="Times New Roman" w:cs="Times New Roman"/>
          <w:b/>
          <w:sz w:val="24"/>
          <w:szCs w:val="24"/>
        </w:rPr>
        <w:t xml:space="preserve"> İçin Başarı Notu Tablosu</w:t>
      </w:r>
    </w:p>
    <w:tbl>
      <w:tblPr>
        <w:tblStyle w:val="TabloKlavuzu"/>
        <w:tblW w:w="0" w:type="auto"/>
        <w:tblLayout w:type="fixed"/>
        <w:tblLook w:val="04A0" w:firstRow="1" w:lastRow="0" w:firstColumn="1" w:lastColumn="0" w:noHBand="0" w:noVBand="1"/>
      </w:tblPr>
      <w:tblGrid>
        <w:gridCol w:w="1809"/>
        <w:gridCol w:w="1985"/>
        <w:gridCol w:w="2268"/>
        <w:gridCol w:w="2268"/>
      </w:tblGrid>
      <w:tr w:rsidR="00204383" w:rsidRPr="00204383" w:rsidTr="001E16DF">
        <w:tc>
          <w:tcPr>
            <w:tcW w:w="1809" w:type="dxa"/>
            <w:vAlign w:val="center"/>
          </w:tcPr>
          <w:p w:rsidR="00204383" w:rsidRPr="00204383" w:rsidRDefault="00204383" w:rsidP="007F4F82">
            <w:pPr>
              <w:jc w:val="both"/>
              <w:rPr>
                <w:rFonts w:ascii="Times New Roman" w:hAnsi="Times New Roman" w:cs="Times New Roman"/>
                <w:b/>
                <w:sz w:val="24"/>
                <w:szCs w:val="24"/>
              </w:rPr>
            </w:pPr>
            <w:r w:rsidRPr="00204383">
              <w:rPr>
                <w:rFonts w:ascii="Times New Roman" w:hAnsi="Times New Roman" w:cs="Times New Roman"/>
                <w:b/>
                <w:sz w:val="24"/>
                <w:szCs w:val="24"/>
              </w:rPr>
              <w:t>Başarı</w:t>
            </w:r>
          </w:p>
          <w:p w:rsidR="00204383" w:rsidRPr="00204383" w:rsidRDefault="00204383" w:rsidP="007F4F82">
            <w:pPr>
              <w:jc w:val="both"/>
              <w:rPr>
                <w:rFonts w:ascii="Times New Roman" w:hAnsi="Times New Roman" w:cs="Times New Roman"/>
                <w:b/>
                <w:sz w:val="24"/>
                <w:szCs w:val="24"/>
              </w:rPr>
            </w:pPr>
            <w:r w:rsidRPr="00204383">
              <w:rPr>
                <w:rFonts w:ascii="Times New Roman" w:hAnsi="Times New Roman" w:cs="Times New Roman"/>
                <w:b/>
                <w:sz w:val="24"/>
                <w:szCs w:val="24"/>
              </w:rPr>
              <w:t>Notu</w:t>
            </w:r>
          </w:p>
        </w:tc>
        <w:tc>
          <w:tcPr>
            <w:tcW w:w="1985" w:type="dxa"/>
            <w:vAlign w:val="center"/>
          </w:tcPr>
          <w:p w:rsidR="00204383" w:rsidRPr="00204383" w:rsidRDefault="00204383" w:rsidP="007F4F82">
            <w:pPr>
              <w:jc w:val="both"/>
              <w:rPr>
                <w:rFonts w:ascii="Times New Roman" w:hAnsi="Times New Roman" w:cs="Times New Roman"/>
                <w:b/>
                <w:sz w:val="24"/>
                <w:szCs w:val="24"/>
              </w:rPr>
            </w:pPr>
            <w:r w:rsidRPr="00204383">
              <w:rPr>
                <w:rFonts w:ascii="Times New Roman" w:hAnsi="Times New Roman" w:cs="Times New Roman"/>
                <w:b/>
                <w:sz w:val="24"/>
                <w:szCs w:val="24"/>
              </w:rPr>
              <w:t>Başarı</w:t>
            </w:r>
          </w:p>
          <w:p w:rsidR="00204383" w:rsidRPr="00204383" w:rsidRDefault="00204383" w:rsidP="007F4F82">
            <w:pPr>
              <w:jc w:val="both"/>
              <w:rPr>
                <w:rFonts w:ascii="Times New Roman" w:hAnsi="Times New Roman" w:cs="Times New Roman"/>
                <w:b/>
                <w:sz w:val="24"/>
                <w:szCs w:val="24"/>
              </w:rPr>
            </w:pPr>
            <w:r w:rsidRPr="00204383">
              <w:rPr>
                <w:rFonts w:ascii="Times New Roman" w:hAnsi="Times New Roman" w:cs="Times New Roman"/>
                <w:b/>
                <w:sz w:val="24"/>
                <w:szCs w:val="24"/>
              </w:rPr>
              <w:t>Puanı</w:t>
            </w:r>
          </w:p>
        </w:tc>
        <w:tc>
          <w:tcPr>
            <w:tcW w:w="2268" w:type="dxa"/>
            <w:vAlign w:val="center"/>
          </w:tcPr>
          <w:p w:rsidR="00204383" w:rsidRPr="00204383" w:rsidRDefault="00204383" w:rsidP="007F4F82">
            <w:pPr>
              <w:jc w:val="both"/>
              <w:rPr>
                <w:rFonts w:ascii="Times New Roman" w:hAnsi="Times New Roman" w:cs="Times New Roman"/>
                <w:b/>
                <w:sz w:val="24"/>
                <w:szCs w:val="24"/>
              </w:rPr>
            </w:pPr>
            <w:r w:rsidRPr="00204383">
              <w:rPr>
                <w:rFonts w:ascii="Times New Roman" w:hAnsi="Times New Roman" w:cs="Times New Roman"/>
                <w:b/>
                <w:sz w:val="24"/>
                <w:szCs w:val="24"/>
              </w:rPr>
              <w:t>Başarı</w:t>
            </w:r>
          </w:p>
          <w:p w:rsidR="00204383" w:rsidRPr="00204383" w:rsidRDefault="00204383" w:rsidP="007F4F82">
            <w:pPr>
              <w:jc w:val="both"/>
              <w:rPr>
                <w:rFonts w:ascii="Times New Roman" w:hAnsi="Times New Roman" w:cs="Times New Roman"/>
                <w:b/>
                <w:sz w:val="24"/>
                <w:szCs w:val="24"/>
              </w:rPr>
            </w:pPr>
            <w:r w:rsidRPr="00204383">
              <w:rPr>
                <w:rFonts w:ascii="Times New Roman" w:hAnsi="Times New Roman" w:cs="Times New Roman"/>
                <w:b/>
                <w:sz w:val="24"/>
                <w:szCs w:val="24"/>
              </w:rPr>
              <w:t>Notu Katsayı</w:t>
            </w:r>
          </w:p>
        </w:tc>
        <w:tc>
          <w:tcPr>
            <w:tcW w:w="2268" w:type="dxa"/>
            <w:vAlign w:val="center"/>
          </w:tcPr>
          <w:p w:rsidR="00204383" w:rsidRPr="00204383" w:rsidRDefault="00204383" w:rsidP="007F4F82">
            <w:pPr>
              <w:jc w:val="both"/>
              <w:rPr>
                <w:rFonts w:ascii="Times New Roman" w:hAnsi="Times New Roman" w:cs="Times New Roman"/>
                <w:b/>
                <w:sz w:val="24"/>
                <w:szCs w:val="24"/>
              </w:rPr>
            </w:pPr>
            <w:r w:rsidRPr="00204383">
              <w:rPr>
                <w:rFonts w:ascii="Times New Roman" w:hAnsi="Times New Roman" w:cs="Times New Roman"/>
                <w:b/>
                <w:sz w:val="24"/>
                <w:szCs w:val="24"/>
              </w:rPr>
              <w:t>Sonuç</w:t>
            </w:r>
          </w:p>
        </w:tc>
      </w:tr>
      <w:tr w:rsidR="00204383" w:rsidRPr="00204383" w:rsidTr="001E16DF">
        <w:tc>
          <w:tcPr>
            <w:tcW w:w="1809"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A1</w:t>
            </w:r>
          </w:p>
        </w:tc>
        <w:tc>
          <w:tcPr>
            <w:tcW w:w="1985"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95-100</w:t>
            </w:r>
          </w:p>
        </w:tc>
        <w:tc>
          <w:tcPr>
            <w:tcW w:w="2268"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4.00</w:t>
            </w:r>
          </w:p>
        </w:tc>
        <w:tc>
          <w:tcPr>
            <w:tcW w:w="2268" w:type="dxa"/>
            <w:vMerge w:val="restart"/>
            <w:vAlign w:val="center"/>
          </w:tcPr>
          <w:p w:rsidR="00204383" w:rsidRPr="00204383" w:rsidRDefault="00204383" w:rsidP="007F4F82">
            <w:pPr>
              <w:jc w:val="both"/>
              <w:rPr>
                <w:rFonts w:ascii="Times New Roman" w:hAnsi="Times New Roman" w:cs="Times New Roman"/>
                <w:b/>
                <w:sz w:val="24"/>
                <w:szCs w:val="24"/>
              </w:rPr>
            </w:pPr>
            <w:r w:rsidRPr="00204383">
              <w:rPr>
                <w:rFonts w:ascii="Times New Roman" w:hAnsi="Times New Roman" w:cs="Times New Roman"/>
                <w:b/>
                <w:sz w:val="24"/>
                <w:szCs w:val="24"/>
              </w:rPr>
              <w:t>Geçer Not</w:t>
            </w:r>
          </w:p>
        </w:tc>
      </w:tr>
      <w:tr w:rsidR="00204383" w:rsidRPr="00204383" w:rsidTr="001E16DF">
        <w:tc>
          <w:tcPr>
            <w:tcW w:w="1809"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A2</w:t>
            </w:r>
          </w:p>
        </w:tc>
        <w:tc>
          <w:tcPr>
            <w:tcW w:w="1985"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90-94</w:t>
            </w:r>
          </w:p>
        </w:tc>
        <w:tc>
          <w:tcPr>
            <w:tcW w:w="2268"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3.75</w:t>
            </w:r>
          </w:p>
        </w:tc>
        <w:tc>
          <w:tcPr>
            <w:tcW w:w="2268" w:type="dxa"/>
            <w:vMerge/>
            <w:vAlign w:val="center"/>
          </w:tcPr>
          <w:p w:rsidR="00204383" w:rsidRPr="00204383" w:rsidRDefault="00204383" w:rsidP="007F4F82">
            <w:pPr>
              <w:jc w:val="both"/>
              <w:rPr>
                <w:rFonts w:ascii="Times New Roman" w:hAnsi="Times New Roman" w:cs="Times New Roman"/>
                <w:b/>
                <w:sz w:val="24"/>
                <w:szCs w:val="24"/>
              </w:rPr>
            </w:pPr>
          </w:p>
        </w:tc>
      </w:tr>
      <w:tr w:rsidR="00204383" w:rsidRPr="00204383" w:rsidTr="001E16DF">
        <w:tc>
          <w:tcPr>
            <w:tcW w:w="1809"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A3</w:t>
            </w:r>
          </w:p>
        </w:tc>
        <w:tc>
          <w:tcPr>
            <w:tcW w:w="1985"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85-89</w:t>
            </w:r>
          </w:p>
        </w:tc>
        <w:tc>
          <w:tcPr>
            <w:tcW w:w="2268"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3.50</w:t>
            </w:r>
          </w:p>
        </w:tc>
        <w:tc>
          <w:tcPr>
            <w:tcW w:w="2268" w:type="dxa"/>
            <w:vMerge/>
            <w:vAlign w:val="center"/>
          </w:tcPr>
          <w:p w:rsidR="00204383" w:rsidRPr="00204383" w:rsidRDefault="00204383" w:rsidP="007F4F82">
            <w:pPr>
              <w:jc w:val="both"/>
              <w:rPr>
                <w:rFonts w:ascii="Times New Roman" w:hAnsi="Times New Roman" w:cs="Times New Roman"/>
                <w:b/>
                <w:sz w:val="24"/>
                <w:szCs w:val="24"/>
              </w:rPr>
            </w:pPr>
          </w:p>
        </w:tc>
      </w:tr>
      <w:tr w:rsidR="00204383" w:rsidRPr="00204383" w:rsidTr="001E16DF">
        <w:tc>
          <w:tcPr>
            <w:tcW w:w="1809"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B1</w:t>
            </w:r>
          </w:p>
        </w:tc>
        <w:tc>
          <w:tcPr>
            <w:tcW w:w="1985"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80-84</w:t>
            </w:r>
          </w:p>
        </w:tc>
        <w:tc>
          <w:tcPr>
            <w:tcW w:w="2268"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3.25</w:t>
            </w:r>
          </w:p>
        </w:tc>
        <w:tc>
          <w:tcPr>
            <w:tcW w:w="2268" w:type="dxa"/>
            <w:vMerge/>
            <w:vAlign w:val="center"/>
          </w:tcPr>
          <w:p w:rsidR="00204383" w:rsidRPr="00204383" w:rsidRDefault="00204383" w:rsidP="007F4F82">
            <w:pPr>
              <w:jc w:val="both"/>
              <w:rPr>
                <w:rFonts w:ascii="Times New Roman" w:hAnsi="Times New Roman" w:cs="Times New Roman"/>
                <w:b/>
                <w:sz w:val="24"/>
                <w:szCs w:val="24"/>
              </w:rPr>
            </w:pPr>
          </w:p>
        </w:tc>
      </w:tr>
      <w:tr w:rsidR="00204383" w:rsidRPr="00204383" w:rsidTr="001E16DF">
        <w:tc>
          <w:tcPr>
            <w:tcW w:w="1809"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B2</w:t>
            </w:r>
          </w:p>
        </w:tc>
        <w:tc>
          <w:tcPr>
            <w:tcW w:w="1985"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75-79</w:t>
            </w:r>
          </w:p>
        </w:tc>
        <w:tc>
          <w:tcPr>
            <w:tcW w:w="2268"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3.00</w:t>
            </w:r>
          </w:p>
        </w:tc>
        <w:tc>
          <w:tcPr>
            <w:tcW w:w="2268" w:type="dxa"/>
            <w:vMerge/>
            <w:vAlign w:val="center"/>
          </w:tcPr>
          <w:p w:rsidR="00204383" w:rsidRPr="00204383" w:rsidRDefault="00204383" w:rsidP="007F4F82">
            <w:pPr>
              <w:jc w:val="both"/>
              <w:rPr>
                <w:rFonts w:ascii="Times New Roman" w:hAnsi="Times New Roman" w:cs="Times New Roman"/>
                <w:b/>
                <w:sz w:val="24"/>
                <w:szCs w:val="24"/>
              </w:rPr>
            </w:pPr>
          </w:p>
        </w:tc>
      </w:tr>
      <w:tr w:rsidR="00204383" w:rsidRPr="00204383" w:rsidTr="001E16DF">
        <w:tc>
          <w:tcPr>
            <w:tcW w:w="1809"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B3</w:t>
            </w:r>
          </w:p>
        </w:tc>
        <w:tc>
          <w:tcPr>
            <w:tcW w:w="1985"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70-74</w:t>
            </w:r>
          </w:p>
        </w:tc>
        <w:tc>
          <w:tcPr>
            <w:tcW w:w="2268"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2.75</w:t>
            </w:r>
          </w:p>
        </w:tc>
        <w:tc>
          <w:tcPr>
            <w:tcW w:w="2268" w:type="dxa"/>
            <w:vMerge/>
            <w:vAlign w:val="center"/>
          </w:tcPr>
          <w:p w:rsidR="00204383" w:rsidRPr="00204383" w:rsidRDefault="00204383" w:rsidP="007F4F82">
            <w:pPr>
              <w:jc w:val="both"/>
              <w:rPr>
                <w:rFonts w:ascii="Times New Roman" w:hAnsi="Times New Roman" w:cs="Times New Roman"/>
                <w:b/>
                <w:sz w:val="24"/>
                <w:szCs w:val="24"/>
              </w:rPr>
            </w:pPr>
          </w:p>
        </w:tc>
      </w:tr>
      <w:tr w:rsidR="00204383" w:rsidRPr="00204383" w:rsidTr="001E16DF">
        <w:tc>
          <w:tcPr>
            <w:tcW w:w="1809"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C1</w:t>
            </w:r>
          </w:p>
        </w:tc>
        <w:tc>
          <w:tcPr>
            <w:tcW w:w="1985"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65-69</w:t>
            </w:r>
          </w:p>
        </w:tc>
        <w:tc>
          <w:tcPr>
            <w:tcW w:w="2268"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2.50</w:t>
            </w:r>
          </w:p>
        </w:tc>
        <w:tc>
          <w:tcPr>
            <w:tcW w:w="2268" w:type="dxa"/>
            <w:vMerge/>
            <w:vAlign w:val="center"/>
          </w:tcPr>
          <w:p w:rsidR="00204383" w:rsidRPr="00204383" w:rsidRDefault="00204383" w:rsidP="007F4F82">
            <w:pPr>
              <w:jc w:val="both"/>
              <w:rPr>
                <w:rFonts w:ascii="Times New Roman" w:hAnsi="Times New Roman" w:cs="Times New Roman"/>
                <w:b/>
                <w:sz w:val="24"/>
                <w:szCs w:val="24"/>
              </w:rPr>
            </w:pPr>
          </w:p>
        </w:tc>
      </w:tr>
      <w:tr w:rsidR="00204383" w:rsidRPr="00204383" w:rsidTr="001E16DF">
        <w:tc>
          <w:tcPr>
            <w:tcW w:w="1809"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C2</w:t>
            </w:r>
          </w:p>
        </w:tc>
        <w:tc>
          <w:tcPr>
            <w:tcW w:w="1985"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60-64</w:t>
            </w:r>
          </w:p>
        </w:tc>
        <w:tc>
          <w:tcPr>
            <w:tcW w:w="2268"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2.25</w:t>
            </w:r>
          </w:p>
        </w:tc>
        <w:tc>
          <w:tcPr>
            <w:tcW w:w="2268" w:type="dxa"/>
            <w:vMerge/>
            <w:vAlign w:val="center"/>
          </w:tcPr>
          <w:p w:rsidR="00204383" w:rsidRPr="00204383" w:rsidRDefault="00204383" w:rsidP="007F4F82">
            <w:pPr>
              <w:jc w:val="both"/>
              <w:rPr>
                <w:rFonts w:ascii="Times New Roman" w:hAnsi="Times New Roman" w:cs="Times New Roman"/>
                <w:b/>
                <w:sz w:val="24"/>
                <w:szCs w:val="24"/>
              </w:rPr>
            </w:pPr>
          </w:p>
        </w:tc>
      </w:tr>
      <w:tr w:rsidR="00204383" w:rsidRPr="00204383" w:rsidTr="001E16DF">
        <w:tc>
          <w:tcPr>
            <w:tcW w:w="1809" w:type="dxa"/>
            <w:shd w:val="clear" w:color="auto" w:fill="auto"/>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D1</w:t>
            </w:r>
          </w:p>
        </w:tc>
        <w:tc>
          <w:tcPr>
            <w:tcW w:w="1985" w:type="dxa"/>
            <w:shd w:val="clear" w:color="auto" w:fill="auto"/>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55-59</w:t>
            </w:r>
          </w:p>
        </w:tc>
        <w:tc>
          <w:tcPr>
            <w:tcW w:w="2268" w:type="dxa"/>
            <w:shd w:val="clear" w:color="auto" w:fill="auto"/>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2.00</w:t>
            </w:r>
          </w:p>
        </w:tc>
        <w:tc>
          <w:tcPr>
            <w:tcW w:w="2268" w:type="dxa"/>
            <w:vMerge w:val="restart"/>
            <w:shd w:val="clear" w:color="auto" w:fill="auto"/>
            <w:vAlign w:val="center"/>
          </w:tcPr>
          <w:p w:rsidR="00204383" w:rsidRPr="00204383" w:rsidRDefault="00204383" w:rsidP="007F4F82">
            <w:pPr>
              <w:jc w:val="both"/>
              <w:rPr>
                <w:rFonts w:ascii="Times New Roman" w:hAnsi="Times New Roman" w:cs="Times New Roman"/>
                <w:b/>
                <w:sz w:val="24"/>
                <w:szCs w:val="24"/>
              </w:rPr>
            </w:pPr>
            <w:r w:rsidRPr="00204383">
              <w:rPr>
                <w:rFonts w:ascii="Times New Roman" w:hAnsi="Times New Roman" w:cs="Times New Roman"/>
                <w:b/>
                <w:sz w:val="24"/>
                <w:szCs w:val="24"/>
              </w:rPr>
              <w:t>Koşullu Geçer</w:t>
            </w:r>
          </w:p>
        </w:tc>
      </w:tr>
      <w:tr w:rsidR="00204383" w:rsidRPr="00204383" w:rsidTr="001E16DF">
        <w:tc>
          <w:tcPr>
            <w:tcW w:w="1809"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D2</w:t>
            </w:r>
          </w:p>
        </w:tc>
        <w:tc>
          <w:tcPr>
            <w:tcW w:w="1985"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50-54</w:t>
            </w:r>
          </w:p>
        </w:tc>
        <w:tc>
          <w:tcPr>
            <w:tcW w:w="2268"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1.75</w:t>
            </w:r>
          </w:p>
        </w:tc>
        <w:tc>
          <w:tcPr>
            <w:tcW w:w="2268" w:type="dxa"/>
            <w:vMerge/>
            <w:vAlign w:val="center"/>
          </w:tcPr>
          <w:p w:rsidR="00204383" w:rsidRPr="00204383" w:rsidRDefault="00204383" w:rsidP="007F4F82">
            <w:pPr>
              <w:jc w:val="both"/>
              <w:rPr>
                <w:rFonts w:ascii="Times New Roman" w:hAnsi="Times New Roman" w:cs="Times New Roman"/>
                <w:b/>
                <w:sz w:val="24"/>
                <w:szCs w:val="24"/>
              </w:rPr>
            </w:pPr>
          </w:p>
        </w:tc>
      </w:tr>
      <w:tr w:rsidR="00204383" w:rsidRPr="00204383" w:rsidTr="001E16DF">
        <w:tc>
          <w:tcPr>
            <w:tcW w:w="1809"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F1</w:t>
            </w:r>
          </w:p>
        </w:tc>
        <w:tc>
          <w:tcPr>
            <w:tcW w:w="1985"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0-49</w:t>
            </w:r>
          </w:p>
        </w:tc>
        <w:tc>
          <w:tcPr>
            <w:tcW w:w="2268"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0.00</w:t>
            </w:r>
          </w:p>
        </w:tc>
        <w:tc>
          <w:tcPr>
            <w:tcW w:w="2268" w:type="dxa"/>
            <w:vMerge w:val="restart"/>
            <w:vAlign w:val="center"/>
          </w:tcPr>
          <w:p w:rsidR="00204383" w:rsidRPr="00204383" w:rsidRDefault="00204383" w:rsidP="007F4F82">
            <w:pPr>
              <w:jc w:val="both"/>
              <w:rPr>
                <w:rFonts w:ascii="Times New Roman" w:hAnsi="Times New Roman" w:cs="Times New Roman"/>
                <w:b/>
                <w:sz w:val="24"/>
                <w:szCs w:val="24"/>
              </w:rPr>
            </w:pPr>
            <w:r w:rsidRPr="00204383">
              <w:rPr>
                <w:rFonts w:ascii="Times New Roman" w:hAnsi="Times New Roman" w:cs="Times New Roman"/>
                <w:b/>
                <w:sz w:val="24"/>
                <w:szCs w:val="24"/>
              </w:rPr>
              <w:t>Başarısız</w:t>
            </w:r>
          </w:p>
        </w:tc>
      </w:tr>
      <w:tr w:rsidR="00204383" w:rsidRPr="00204383" w:rsidTr="001E16DF">
        <w:tc>
          <w:tcPr>
            <w:tcW w:w="1809" w:type="dxa"/>
            <w:shd w:val="clear" w:color="auto" w:fill="auto"/>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F2</w:t>
            </w:r>
          </w:p>
        </w:tc>
        <w:tc>
          <w:tcPr>
            <w:tcW w:w="1985" w:type="dxa"/>
            <w:shd w:val="clear" w:color="auto" w:fill="auto"/>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Devamsız</w:t>
            </w:r>
          </w:p>
        </w:tc>
        <w:tc>
          <w:tcPr>
            <w:tcW w:w="2268"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0.00</w:t>
            </w:r>
          </w:p>
        </w:tc>
        <w:tc>
          <w:tcPr>
            <w:tcW w:w="2268" w:type="dxa"/>
            <w:vMerge/>
            <w:vAlign w:val="center"/>
          </w:tcPr>
          <w:p w:rsidR="00204383" w:rsidRPr="00204383" w:rsidRDefault="00204383" w:rsidP="007F4F82">
            <w:pPr>
              <w:jc w:val="both"/>
              <w:rPr>
                <w:rFonts w:ascii="Times New Roman" w:hAnsi="Times New Roman" w:cs="Times New Roman"/>
                <w:b/>
                <w:sz w:val="24"/>
                <w:szCs w:val="24"/>
              </w:rPr>
            </w:pPr>
          </w:p>
        </w:tc>
      </w:tr>
    </w:tbl>
    <w:p w:rsidR="00204383" w:rsidRPr="00204383" w:rsidRDefault="00204383" w:rsidP="007F4F82">
      <w:pPr>
        <w:autoSpaceDE w:val="0"/>
        <w:autoSpaceDN w:val="0"/>
        <w:adjustRightInd w:val="0"/>
        <w:spacing w:after="0"/>
        <w:jc w:val="both"/>
        <w:rPr>
          <w:rFonts w:ascii="Times New Roman" w:hAnsi="Times New Roman" w:cs="Times New Roman"/>
          <w:sz w:val="24"/>
          <w:szCs w:val="24"/>
        </w:rPr>
      </w:pPr>
    </w:p>
    <w:p w:rsidR="00204383" w:rsidRPr="00204383" w:rsidRDefault="00204383" w:rsidP="007F4F82">
      <w:pPr>
        <w:autoSpaceDE w:val="0"/>
        <w:autoSpaceDN w:val="0"/>
        <w:adjustRightInd w:val="0"/>
        <w:spacing w:after="0"/>
        <w:jc w:val="both"/>
        <w:rPr>
          <w:rFonts w:ascii="Times New Roman" w:hAnsi="Times New Roman" w:cs="Times New Roman"/>
          <w:sz w:val="24"/>
          <w:szCs w:val="24"/>
        </w:rPr>
      </w:pPr>
      <w:r w:rsidRPr="00204383">
        <w:rPr>
          <w:rFonts w:ascii="Times New Roman" w:hAnsi="Times New Roman" w:cs="Times New Roman"/>
          <w:sz w:val="24"/>
          <w:szCs w:val="24"/>
        </w:rPr>
        <w:t>(3) Bu madde kapsamında değerlendirilen öğrencilerin mezuniyet için gerekli not ortalaması 2,25’tir.</w:t>
      </w:r>
    </w:p>
    <w:p w:rsidR="00204383" w:rsidRPr="00204383" w:rsidRDefault="00204383" w:rsidP="007F4F82">
      <w:pPr>
        <w:autoSpaceDE w:val="0"/>
        <w:autoSpaceDN w:val="0"/>
        <w:adjustRightInd w:val="0"/>
        <w:spacing w:after="0"/>
        <w:jc w:val="both"/>
        <w:rPr>
          <w:rFonts w:ascii="Times New Roman" w:hAnsi="Times New Roman" w:cs="Times New Roman"/>
          <w:sz w:val="24"/>
          <w:szCs w:val="24"/>
        </w:rPr>
      </w:pPr>
      <w:r w:rsidRPr="00204383">
        <w:rPr>
          <w:rFonts w:ascii="Times New Roman" w:hAnsi="Times New Roman" w:cs="Times New Roman"/>
          <w:sz w:val="24"/>
          <w:szCs w:val="24"/>
        </w:rPr>
        <w:t>(4) Koşullu geçer notların başarılı kabul edilebilmesi için öğrencilerin akademik ortalamasının mezuniyet öncesinde 2,25 olması gerekir.</w:t>
      </w:r>
    </w:p>
    <w:p w:rsidR="00204383" w:rsidRDefault="00204383" w:rsidP="007F4F82">
      <w:pPr>
        <w:autoSpaceDE w:val="0"/>
        <w:autoSpaceDN w:val="0"/>
        <w:adjustRightInd w:val="0"/>
        <w:spacing w:after="0"/>
        <w:jc w:val="both"/>
        <w:rPr>
          <w:rFonts w:ascii="Times New Roman" w:hAnsi="Times New Roman" w:cs="Times New Roman"/>
          <w:b/>
          <w:color w:val="000000"/>
          <w:sz w:val="24"/>
          <w:szCs w:val="24"/>
        </w:rPr>
      </w:pPr>
    </w:p>
    <w:p w:rsidR="00204383" w:rsidRPr="00204383" w:rsidRDefault="00204383" w:rsidP="007F4F82">
      <w:pPr>
        <w:autoSpaceDE w:val="0"/>
        <w:autoSpaceDN w:val="0"/>
        <w:adjustRightInd w:val="0"/>
        <w:spacing w:after="0"/>
        <w:jc w:val="both"/>
        <w:rPr>
          <w:rFonts w:ascii="Times New Roman" w:hAnsi="Times New Roman" w:cs="Times New Roman"/>
          <w:b/>
          <w:color w:val="000000"/>
          <w:sz w:val="24"/>
          <w:szCs w:val="24"/>
        </w:rPr>
      </w:pPr>
      <w:r w:rsidRPr="00204383">
        <w:rPr>
          <w:rFonts w:ascii="Times New Roman" w:hAnsi="Times New Roman" w:cs="Times New Roman"/>
          <w:b/>
          <w:color w:val="000000"/>
          <w:sz w:val="24"/>
          <w:szCs w:val="24"/>
        </w:rPr>
        <w:t>2018-2019 Eğitim-Öğretim Yılından Önce Üniversite’ye Kayıt Olan Öğrencilere İlişkin Hükümler</w:t>
      </w:r>
    </w:p>
    <w:p w:rsidR="00204383" w:rsidRPr="00204383" w:rsidRDefault="00204383" w:rsidP="007F4F82">
      <w:pPr>
        <w:autoSpaceDE w:val="0"/>
        <w:autoSpaceDN w:val="0"/>
        <w:adjustRightInd w:val="0"/>
        <w:spacing w:after="0"/>
        <w:jc w:val="both"/>
        <w:rPr>
          <w:rFonts w:ascii="Times New Roman" w:hAnsi="Times New Roman" w:cs="Times New Roman"/>
          <w:sz w:val="24"/>
          <w:szCs w:val="24"/>
        </w:rPr>
      </w:pPr>
      <w:r w:rsidRPr="00204383">
        <w:rPr>
          <w:rFonts w:ascii="Times New Roman" w:hAnsi="Times New Roman" w:cs="Times New Roman"/>
          <w:b/>
          <w:sz w:val="24"/>
          <w:szCs w:val="24"/>
        </w:rPr>
        <w:t xml:space="preserve">Madde 7 </w:t>
      </w:r>
      <w:r w:rsidRPr="00204383">
        <w:rPr>
          <w:rFonts w:ascii="Times New Roman" w:hAnsi="Times New Roman" w:cs="Times New Roman"/>
          <w:sz w:val="24"/>
          <w:szCs w:val="24"/>
        </w:rPr>
        <w:t>– (1) 2018-2019 eğitim öğretim yılından önce Üniversiteye kayıtlı olan ve programından ders alan öğrencilerin başarı değerlendirmelerinde bu madde kapsamındaki hükümler uygulanır.</w:t>
      </w:r>
    </w:p>
    <w:p w:rsidR="00204383" w:rsidRDefault="00204383" w:rsidP="007F4F82">
      <w:pPr>
        <w:spacing w:after="0"/>
        <w:jc w:val="both"/>
        <w:rPr>
          <w:rFonts w:ascii="Times New Roman" w:hAnsi="Times New Roman" w:cs="Times New Roman"/>
          <w:sz w:val="24"/>
          <w:szCs w:val="24"/>
        </w:rPr>
      </w:pPr>
      <w:r w:rsidRPr="00204383">
        <w:rPr>
          <w:rFonts w:ascii="Times New Roman" w:hAnsi="Times New Roman" w:cs="Times New Roman"/>
          <w:sz w:val="24"/>
          <w:szCs w:val="24"/>
        </w:rPr>
        <w:lastRenderedPageBreak/>
        <w:t xml:space="preserve">(2) </w:t>
      </w:r>
      <w:r w:rsidR="005E1223">
        <w:rPr>
          <w:rFonts w:ascii="Times New Roman" w:hAnsi="Times New Roman" w:cs="Times New Roman"/>
          <w:sz w:val="24"/>
          <w:szCs w:val="24"/>
        </w:rPr>
        <w:t>Başarı Puanlarına karşılık gelen Başarı Notları, Başarı Notu K</w:t>
      </w:r>
      <w:r w:rsidRPr="00204383">
        <w:rPr>
          <w:rFonts w:ascii="Times New Roman" w:hAnsi="Times New Roman" w:cs="Times New Roman"/>
          <w:sz w:val="24"/>
          <w:szCs w:val="24"/>
        </w:rPr>
        <w:t>atsayısı ve bu başarı notlarının geçer not, koşullu geçer not ya da başarısız not olarak karşılıkları Tablo 2’de sunulmuştur.</w:t>
      </w:r>
    </w:p>
    <w:p w:rsidR="0016712A" w:rsidRPr="00204383" w:rsidRDefault="0016712A" w:rsidP="007F4F82">
      <w:pPr>
        <w:spacing w:after="0"/>
        <w:jc w:val="both"/>
        <w:rPr>
          <w:rFonts w:ascii="Times New Roman" w:hAnsi="Times New Roman" w:cs="Times New Roman"/>
          <w:sz w:val="24"/>
          <w:szCs w:val="24"/>
        </w:rPr>
      </w:pPr>
    </w:p>
    <w:p w:rsidR="00204383" w:rsidRPr="00204383" w:rsidRDefault="00204383" w:rsidP="007F4F82">
      <w:pPr>
        <w:spacing w:after="0"/>
        <w:jc w:val="both"/>
        <w:rPr>
          <w:rFonts w:ascii="Times New Roman" w:hAnsi="Times New Roman" w:cs="Times New Roman"/>
          <w:b/>
          <w:sz w:val="24"/>
          <w:szCs w:val="24"/>
        </w:rPr>
      </w:pPr>
      <w:r w:rsidRPr="00204383">
        <w:rPr>
          <w:rFonts w:ascii="Times New Roman" w:hAnsi="Times New Roman" w:cs="Times New Roman"/>
          <w:b/>
          <w:sz w:val="24"/>
          <w:szCs w:val="24"/>
        </w:rPr>
        <w:t xml:space="preserve">Tablo 2. </w:t>
      </w:r>
      <w:r w:rsidRPr="00204383">
        <w:rPr>
          <w:rFonts w:ascii="Times New Roman" w:hAnsi="Times New Roman" w:cs="Times New Roman"/>
          <w:b/>
          <w:color w:val="000000"/>
          <w:sz w:val="24"/>
          <w:szCs w:val="24"/>
        </w:rPr>
        <w:t>2018-2019 Eğitim-Öğretim Yılından Önce Pamukkale Üniversitesine Kayıt Olan Öğrenciler</w:t>
      </w:r>
      <w:r w:rsidRPr="00204383">
        <w:rPr>
          <w:rFonts w:ascii="Times New Roman" w:hAnsi="Times New Roman" w:cs="Times New Roman"/>
          <w:b/>
          <w:sz w:val="24"/>
          <w:szCs w:val="24"/>
        </w:rPr>
        <w:t xml:space="preserve"> İçin Başarı Notu Tablosu</w:t>
      </w:r>
    </w:p>
    <w:tbl>
      <w:tblPr>
        <w:tblStyle w:val="TabloKlavuzu"/>
        <w:tblW w:w="0" w:type="auto"/>
        <w:tblLayout w:type="fixed"/>
        <w:tblLook w:val="04A0" w:firstRow="1" w:lastRow="0" w:firstColumn="1" w:lastColumn="0" w:noHBand="0" w:noVBand="1"/>
      </w:tblPr>
      <w:tblGrid>
        <w:gridCol w:w="1963"/>
        <w:gridCol w:w="2153"/>
        <w:gridCol w:w="2459"/>
        <w:gridCol w:w="2459"/>
      </w:tblGrid>
      <w:tr w:rsidR="00204383" w:rsidRPr="00204383" w:rsidTr="001E16DF">
        <w:trPr>
          <w:cantSplit/>
          <w:trHeight w:val="553"/>
        </w:trPr>
        <w:tc>
          <w:tcPr>
            <w:tcW w:w="1963" w:type="dxa"/>
            <w:vAlign w:val="center"/>
          </w:tcPr>
          <w:p w:rsidR="00204383" w:rsidRPr="00204383" w:rsidRDefault="00204383" w:rsidP="007F4F82">
            <w:pPr>
              <w:jc w:val="both"/>
              <w:rPr>
                <w:rFonts w:ascii="Times New Roman" w:hAnsi="Times New Roman" w:cs="Times New Roman"/>
                <w:b/>
                <w:sz w:val="24"/>
                <w:szCs w:val="24"/>
              </w:rPr>
            </w:pPr>
            <w:r w:rsidRPr="00204383">
              <w:rPr>
                <w:rFonts w:ascii="Times New Roman" w:hAnsi="Times New Roman" w:cs="Times New Roman"/>
                <w:b/>
                <w:sz w:val="24"/>
                <w:szCs w:val="24"/>
              </w:rPr>
              <w:t>Başarı</w:t>
            </w:r>
          </w:p>
          <w:p w:rsidR="00204383" w:rsidRPr="00204383" w:rsidRDefault="00204383" w:rsidP="007F4F82">
            <w:pPr>
              <w:jc w:val="both"/>
              <w:rPr>
                <w:rFonts w:ascii="Times New Roman" w:hAnsi="Times New Roman" w:cs="Times New Roman"/>
                <w:b/>
                <w:sz w:val="24"/>
                <w:szCs w:val="24"/>
              </w:rPr>
            </w:pPr>
            <w:r w:rsidRPr="00204383">
              <w:rPr>
                <w:rFonts w:ascii="Times New Roman" w:hAnsi="Times New Roman" w:cs="Times New Roman"/>
                <w:b/>
                <w:sz w:val="24"/>
                <w:szCs w:val="24"/>
              </w:rPr>
              <w:t>Notu</w:t>
            </w:r>
          </w:p>
        </w:tc>
        <w:tc>
          <w:tcPr>
            <w:tcW w:w="2153" w:type="dxa"/>
            <w:vAlign w:val="center"/>
          </w:tcPr>
          <w:p w:rsidR="00204383" w:rsidRPr="00204383" w:rsidRDefault="00204383" w:rsidP="007F4F82">
            <w:pPr>
              <w:jc w:val="both"/>
              <w:rPr>
                <w:rFonts w:ascii="Times New Roman" w:hAnsi="Times New Roman" w:cs="Times New Roman"/>
                <w:b/>
                <w:sz w:val="24"/>
                <w:szCs w:val="24"/>
              </w:rPr>
            </w:pPr>
            <w:r w:rsidRPr="00204383">
              <w:rPr>
                <w:rFonts w:ascii="Times New Roman" w:hAnsi="Times New Roman" w:cs="Times New Roman"/>
                <w:b/>
                <w:sz w:val="24"/>
                <w:szCs w:val="24"/>
              </w:rPr>
              <w:t>Başarı</w:t>
            </w:r>
          </w:p>
          <w:p w:rsidR="00204383" w:rsidRPr="00204383" w:rsidRDefault="00204383" w:rsidP="007F4F82">
            <w:pPr>
              <w:jc w:val="both"/>
              <w:rPr>
                <w:rFonts w:ascii="Times New Roman" w:hAnsi="Times New Roman" w:cs="Times New Roman"/>
                <w:b/>
                <w:sz w:val="24"/>
                <w:szCs w:val="24"/>
              </w:rPr>
            </w:pPr>
            <w:r w:rsidRPr="00204383">
              <w:rPr>
                <w:rFonts w:ascii="Times New Roman" w:hAnsi="Times New Roman" w:cs="Times New Roman"/>
                <w:b/>
                <w:sz w:val="24"/>
                <w:szCs w:val="24"/>
              </w:rPr>
              <w:t>Puanı</w:t>
            </w:r>
          </w:p>
        </w:tc>
        <w:tc>
          <w:tcPr>
            <w:tcW w:w="2459" w:type="dxa"/>
            <w:vAlign w:val="center"/>
          </w:tcPr>
          <w:p w:rsidR="00204383" w:rsidRPr="00204383" w:rsidRDefault="00204383" w:rsidP="007F4F82">
            <w:pPr>
              <w:jc w:val="both"/>
              <w:rPr>
                <w:rFonts w:ascii="Times New Roman" w:hAnsi="Times New Roman" w:cs="Times New Roman"/>
                <w:b/>
                <w:sz w:val="24"/>
                <w:szCs w:val="24"/>
              </w:rPr>
            </w:pPr>
            <w:r w:rsidRPr="00204383">
              <w:rPr>
                <w:rFonts w:ascii="Times New Roman" w:hAnsi="Times New Roman" w:cs="Times New Roman"/>
                <w:b/>
                <w:sz w:val="24"/>
                <w:szCs w:val="24"/>
              </w:rPr>
              <w:t>Başarı</w:t>
            </w:r>
          </w:p>
          <w:p w:rsidR="00204383" w:rsidRPr="00204383" w:rsidRDefault="00204383" w:rsidP="007F4F82">
            <w:pPr>
              <w:jc w:val="both"/>
              <w:rPr>
                <w:rFonts w:ascii="Times New Roman" w:hAnsi="Times New Roman" w:cs="Times New Roman"/>
                <w:b/>
                <w:sz w:val="24"/>
                <w:szCs w:val="24"/>
              </w:rPr>
            </w:pPr>
            <w:r w:rsidRPr="00204383">
              <w:rPr>
                <w:rFonts w:ascii="Times New Roman" w:hAnsi="Times New Roman" w:cs="Times New Roman"/>
                <w:b/>
                <w:sz w:val="24"/>
                <w:szCs w:val="24"/>
              </w:rPr>
              <w:t>Notu Katsayı</w:t>
            </w:r>
          </w:p>
        </w:tc>
        <w:tc>
          <w:tcPr>
            <w:tcW w:w="2459" w:type="dxa"/>
            <w:vAlign w:val="center"/>
          </w:tcPr>
          <w:p w:rsidR="00204383" w:rsidRPr="00204383" w:rsidRDefault="00204383" w:rsidP="007F4F82">
            <w:pPr>
              <w:jc w:val="both"/>
              <w:rPr>
                <w:rFonts w:ascii="Times New Roman" w:hAnsi="Times New Roman" w:cs="Times New Roman"/>
                <w:b/>
                <w:sz w:val="24"/>
                <w:szCs w:val="24"/>
              </w:rPr>
            </w:pPr>
            <w:r w:rsidRPr="00204383">
              <w:rPr>
                <w:rFonts w:ascii="Times New Roman" w:hAnsi="Times New Roman" w:cs="Times New Roman"/>
                <w:b/>
                <w:sz w:val="24"/>
                <w:szCs w:val="24"/>
              </w:rPr>
              <w:t>Sonuç</w:t>
            </w:r>
          </w:p>
        </w:tc>
      </w:tr>
      <w:tr w:rsidR="00204383" w:rsidRPr="00204383" w:rsidTr="001E16DF">
        <w:trPr>
          <w:cantSplit/>
          <w:trHeight w:val="260"/>
        </w:trPr>
        <w:tc>
          <w:tcPr>
            <w:tcW w:w="1963"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A1</w:t>
            </w:r>
          </w:p>
        </w:tc>
        <w:tc>
          <w:tcPr>
            <w:tcW w:w="2153"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90 – 100</w:t>
            </w:r>
          </w:p>
        </w:tc>
        <w:tc>
          <w:tcPr>
            <w:tcW w:w="2459"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4.00</w:t>
            </w:r>
          </w:p>
        </w:tc>
        <w:tc>
          <w:tcPr>
            <w:tcW w:w="2459" w:type="dxa"/>
            <w:vMerge w:val="restart"/>
            <w:vAlign w:val="center"/>
          </w:tcPr>
          <w:p w:rsidR="00204383" w:rsidRPr="00204383" w:rsidRDefault="00204383" w:rsidP="007F4F82">
            <w:pPr>
              <w:jc w:val="both"/>
              <w:rPr>
                <w:rFonts w:ascii="Times New Roman" w:hAnsi="Times New Roman" w:cs="Times New Roman"/>
                <w:b/>
                <w:sz w:val="24"/>
                <w:szCs w:val="24"/>
              </w:rPr>
            </w:pPr>
            <w:r w:rsidRPr="00204383">
              <w:rPr>
                <w:rFonts w:ascii="Times New Roman" w:hAnsi="Times New Roman" w:cs="Times New Roman"/>
                <w:b/>
                <w:sz w:val="24"/>
                <w:szCs w:val="24"/>
              </w:rPr>
              <w:t>Geçer Not</w:t>
            </w:r>
          </w:p>
        </w:tc>
      </w:tr>
      <w:tr w:rsidR="00204383" w:rsidRPr="00204383" w:rsidTr="001E16DF">
        <w:trPr>
          <w:cantSplit/>
          <w:trHeight w:val="274"/>
        </w:trPr>
        <w:tc>
          <w:tcPr>
            <w:tcW w:w="1963"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A2</w:t>
            </w:r>
          </w:p>
        </w:tc>
        <w:tc>
          <w:tcPr>
            <w:tcW w:w="2153"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80 – 89</w:t>
            </w:r>
          </w:p>
        </w:tc>
        <w:tc>
          <w:tcPr>
            <w:tcW w:w="2459"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3.70</w:t>
            </w:r>
          </w:p>
        </w:tc>
        <w:tc>
          <w:tcPr>
            <w:tcW w:w="2459" w:type="dxa"/>
            <w:vMerge/>
            <w:vAlign w:val="center"/>
          </w:tcPr>
          <w:p w:rsidR="00204383" w:rsidRPr="00204383" w:rsidRDefault="00204383" w:rsidP="007F4F82">
            <w:pPr>
              <w:jc w:val="both"/>
              <w:rPr>
                <w:rFonts w:ascii="Times New Roman" w:hAnsi="Times New Roman" w:cs="Times New Roman"/>
                <w:b/>
                <w:sz w:val="24"/>
                <w:szCs w:val="24"/>
              </w:rPr>
            </w:pPr>
          </w:p>
        </w:tc>
      </w:tr>
      <w:tr w:rsidR="00204383" w:rsidRPr="00204383" w:rsidTr="001E16DF">
        <w:trPr>
          <w:cantSplit/>
          <w:trHeight w:val="274"/>
        </w:trPr>
        <w:tc>
          <w:tcPr>
            <w:tcW w:w="1963"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B1</w:t>
            </w:r>
          </w:p>
        </w:tc>
        <w:tc>
          <w:tcPr>
            <w:tcW w:w="2153"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75 – 79</w:t>
            </w:r>
          </w:p>
        </w:tc>
        <w:tc>
          <w:tcPr>
            <w:tcW w:w="2459"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3.30</w:t>
            </w:r>
          </w:p>
        </w:tc>
        <w:tc>
          <w:tcPr>
            <w:tcW w:w="2459" w:type="dxa"/>
            <w:vMerge/>
            <w:vAlign w:val="center"/>
          </w:tcPr>
          <w:p w:rsidR="00204383" w:rsidRPr="00204383" w:rsidRDefault="00204383" w:rsidP="007F4F82">
            <w:pPr>
              <w:jc w:val="both"/>
              <w:rPr>
                <w:rFonts w:ascii="Times New Roman" w:hAnsi="Times New Roman" w:cs="Times New Roman"/>
                <w:b/>
                <w:sz w:val="24"/>
                <w:szCs w:val="24"/>
              </w:rPr>
            </w:pPr>
          </w:p>
        </w:tc>
      </w:tr>
      <w:tr w:rsidR="00204383" w:rsidRPr="00204383" w:rsidTr="001E16DF">
        <w:trPr>
          <w:cantSplit/>
          <w:trHeight w:val="274"/>
        </w:trPr>
        <w:tc>
          <w:tcPr>
            <w:tcW w:w="1963"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B2</w:t>
            </w:r>
          </w:p>
        </w:tc>
        <w:tc>
          <w:tcPr>
            <w:tcW w:w="2153"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 xml:space="preserve">70 – 74 </w:t>
            </w:r>
          </w:p>
        </w:tc>
        <w:tc>
          <w:tcPr>
            <w:tcW w:w="2459"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3.00</w:t>
            </w:r>
          </w:p>
        </w:tc>
        <w:tc>
          <w:tcPr>
            <w:tcW w:w="2459" w:type="dxa"/>
            <w:vMerge/>
            <w:vAlign w:val="center"/>
          </w:tcPr>
          <w:p w:rsidR="00204383" w:rsidRPr="00204383" w:rsidRDefault="00204383" w:rsidP="007F4F82">
            <w:pPr>
              <w:jc w:val="both"/>
              <w:rPr>
                <w:rFonts w:ascii="Times New Roman" w:hAnsi="Times New Roman" w:cs="Times New Roman"/>
                <w:b/>
                <w:sz w:val="24"/>
                <w:szCs w:val="24"/>
              </w:rPr>
            </w:pPr>
          </w:p>
        </w:tc>
      </w:tr>
      <w:tr w:rsidR="00204383" w:rsidRPr="00204383" w:rsidTr="001E16DF">
        <w:trPr>
          <w:cantSplit/>
          <w:trHeight w:val="274"/>
        </w:trPr>
        <w:tc>
          <w:tcPr>
            <w:tcW w:w="1963"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C1</w:t>
            </w:r>
          </w:p>
        </w:tc>
        <w:tc>
          <w:tcPr>
            <w:tcW w:w="2153"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65 – 69</w:t>
            </w:r>
          </w:p>
        </w:tc>
        <w:tc>
          <w:tcPr>
            <w:tcW w:w="2459"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2.70</w:t>
            </w:r>
          </w:p>
        </w:tc>
        <w:tc>
          <w:tcPr>
            <w:tcW w:w="2459" w:type="dxa"/>
            <w:vMerge/>
            <w:vAlign w:val="center"/>
          </w:tcPr>
          <w:p w:rsidR="00204383" w:rsidRPr="00204383" w:rsidRDefault="00204383" w:rsidP="007F4F82">
            <w:pPr>
              <w:jc w:val="both"/>
              <w:rPr>
                <w:rFonts w:ascii="Times New Roman" w:hAnsi="Times New Roman" w:cs="Times New Roman"/>
                <w:b/>
                <w:sz w:val="24"/>
                <w:szCs w:val="24"/>
              </w:rPr>
            </w:pPr>
          </w:p>
        </w:tc>
      </w:tr>
      <w:tr w:rsidR="00204383" w:rsidRPr="00204383" w:rsidTr="001E16DF">
        <w:trPr>
          <w:cantSplit/>
          <w:trHeight w:val="274"/>
        </w:trPr>
        <w:tc>
          <w:tcPr>
            <w:tcW w:w="1963"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C2</w:t>
            </w:r>
          </w:p>
        </w:tc>
        <w:tc>
          <w:tcPr>
            <w:tcW w:w="2153"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60 – 64</w:t>
            </w:r>
          </w:p>
        </w:tc>
        <w:tc>
          <w:tcPr>
            <w:tcW w:w="2459"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2.30</w:t>
            </w:r>
          </w:p>
        </w:tc>
        <w:tc>
          <w:tcPr>
            <w:tcW w:w="2459" w:type="dxa"/>
            <w:vMerge/>
            <w:vAlign w:val="center"/>
          </w:tcPr>
          <w:p w:rsidR="00204383" w:rsidRPr="00204383" w:rsidRDefault="00204383" w:rsidP="007F4F82">
            <w:pPr>
              <w:jc w:val="both"/>
              <w:rPr>
                <w:rFonts w:ascii="Times New Roman" w:hAnsi="Times New Roman" w:cs="Times New Roman"/>
                <w:b/>
                <w:sz w:val="24"/>
                <w:szCs w:val="24"/>
              </w:rPr>
            </w:pPr>
          </w:p>
        </w:tc>
      </w:tr>
      <w:tr w:rsidR="00204383" w:rsidRPr="00204383" w:rsidTr="001E16DF">
        <w:trPr>
          <w:cantSplit/>
          <w:trHeight w:val="274"/>
        </w:trPr>
        <w:tc>
          <w:tcPr>
            <w:tcW w:w="1963"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D1</w:t>
            </w:r>
          </w:p>
        </w:tc>
        <w:tc>
          <w:tcPr>
            <w:tcW w:w="2153"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 xml:space="preserve">55 – 59 </w:t>
            </w:r>
          </w:p>
        </w:tc>
        <w:tc>
          <w:tcPr>
            <w:tcW w:w="2459"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1.70</w:t>
            </w:r>
          </w:p>
        </w:tc>
        <w:tc>
          <w:tcPr>
            <w:tcW w:w="2459" w:type="dxa"/>
            <w:vMerge w:val="restart"/>
            <w:vAlign w:val="center"/>
          </w:tcPr>
          <w:p w:rsidR="00204383" w:rsidRPr="00204383" w:rsidRDefault="00204383" w:rsidP="007F4F82">
            <w:pPr>
              <w:jc w:val="both"/>
              <w:rPr>
                <w:rFonts w:ascii="Times New Roman" w:hAnsi="Times New Roman" w:cs="Times New Roman"/>
                <w:b/>
                <w:sz w:val="24"/>
                <w:szCs w:val="24"/>
              </w:rPr>
            </w:pPr>
            <w:r w:rsidRPr="00204383">
              <w:rPr>
                <w:rFonts w:ascii="Times New Roman" w:hAnsi="Times New Roman" w:cs="Times New Roman"/>
                <w:b/>
                <w:sz w:val="24"/>
                <w:szCs w:val="24"/>
              </w:rPr>
              <w:t>Koşullu Geçer</w:t>
            </w:r>
          </w:p>
        </w:tc>
      </w:tr>
      <w:tr w:rsidR="00204383" w:rsidRPr="00204383" w:rsidTr="001E16DF">
        <w:trPr>
          <w:cantSplit/>
          <w:trHeight w:val="274"/>
        </w:trPr>
        <w:tc>
          <w:tcPr>
            <w:tcW w:w="1963"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D2</w:t>
            </w:r>
          </w:p>
        </w:tc>
        <w:tc>
          <w:tcPr>
            <w:tcW w:w="2153"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50 – 54</w:t>
            </w:r>
          </w:p>
        </w:tc>
        <w:tc>
          <w:tcPr>
            <w:tcW w:w="2459"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1.00</w:t>
            </w:r>
          </w:p>
        </w:tc>
        <w:tc>
          <w:tcPr>
            <w:tcW w:w="2459" w:type="dxa"/>
            <w:vMerge/>
            <w:vAlign w:val="center"/>
          </w:tcPr>
          <w:p w:rsidR="00204383" w:rsidRPr="00204383" w:rsidRDefault="00204383" w:rsidP="007F4F82">
            <w:pPr>
              <w:jc w:val="both"/>
              <w:rPr>
                <w:rFonts w:ascii="Times New Roman" w:hAnsi="Times New Roman" w:cs="Times New Roman"/>
                <w:sz w:val="24"/>
                <w:szCs w:val="24"/>
              </w:rPr>
            </w:pPr>
          </w:p>
        </w:tc>
      </w:tr>
      <w:tr w:rsidR="00204383" w:rsidRPr="00204383" w:rsidTr="001E16DF">
        <w:trPr>
          <w:cantSplit/>
          <w:trHeight w:val="274"/>
        </w:trPr>
        <w:tc>
          <w:tcPr>
            <w:tcW w:w="1963"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E</w:t>
            </w:r>
          </w:p>
        </w:tc>
        <w:tc>
          <w:tcPr>
            <w:tcW w:w="2153"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40 – 49</w:t>
            </w:r>
          </w:p>
        </w:tc>
        <w:tc>
          <w:tcPr>
            <w:tcW w:w="2459"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0.50</w:t>
            </w:r>
          </w:p>
        </w:tc>
        <w:tc>
          <w:tcPr>
            <w:tcW w:w="2459" w:type="dxa"/>
            <w:vMerge w:val="restart"/>
            <w:vAlign w:val="center"/>
          </w:tcPr>
          <w:p w:rsidR="00204383" w:rsidRPr="00204383" w:rsidRDefault="00204383" w:rsidP="007F4F82">
            <w:pPr>
              <w:jc w:val="both"/>
              <w:rPr>
                <w:rFonts w:ascii="Times New Roman" w:hAnsi="Times New Roman" w:cs="Times New Roman"/>
                <w:b/>
                <w:sz w:val="24"/>
                <w:szCs w:val="24"/>
              </w:rPr>
            </w:pPr>
            <w:r w:rsidRPr="00204383">
              <w:rPr>
                <w:rFonts w:ascii="Times New Roman" w:hAnsi="Times New Roman" w:cs="Times New Roman"/>
                <w:b/>
                <w:sz w:val="24"/>
                <w:szCs w:val="24"/>
              </w:rPr>
              <w:t>Başarısız</w:t>
            </w:r>
          </w:p>
        </w:tc>
      </w:tr>
      <w:tr w:rsidR="00204383" w:rsidRPr="00204383" w:rsidTr="001E16DF">
        <w:trPr>
          <w:cantSplit/>
          <w:trHeight w:val="274"/>
        </w:trPr>
        <w:tc>
          <w:tcPr>
            <w:tcW w:w="1963"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F1</w:t>
            </w:r>
          </w:p>
        </w:tc>
        <w:tc>
          <w:tcPr>
            <w:tcW w:w="2153"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0 – 39</w:t>
            </w:r>
          </w:p>
        </w:tc>
        <w:tc>
          <w:tcPr>
            <w:tcW w:w="2459"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0.00</w:t>
            </w:r>
          </w:p>
        </w:tc>
        <w:tc>
          <w:tcPr>
            <w:tcW w:w="2459" w:type="dxa"/>
            <w:vMerge/>
          </w:tcPr>
          <w:p w:rsidR="00204383" w:rsidRPr="00204383" w:rsidRDefault="00204383" w:rsidP="007F4F82">
            <w:pPr>
              <w:jc w:val="both"/>
              <w:rPr>
                <w:rFonts w:ascii="Times New Roman" w:hAnsi="Times New Roman" w:cs="Times New Roman"/>
                <w:sz w:val="24"/>
                <w:szCs w:val="24"/>
              </w:rPr>
            </w:pPr>
          </w:p>
        </w:tc>
      </w:tr>
      <w:tr w:rsidR="00204383" w:rsidRPr="00204383" w:rsidTr="001E16DF">
        <w:trPr>
          <w:cantSplit/>
          <w:trHeight w:val="274"/>
        </w:trPr>
        <w:tc>
          <w:tcPr>
            <w:tcW w:w="1963"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F2</w:t>
            </w:r>
          </w:p>
        </w:tc>
        <w:tc>
          <w:tcPr>
            <w:tcW w:w="2153"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Devamsız</w:t>
            </w:r>
          </w:p>
        </w:tc>
        <w:tc>
          <w:tcPr>
            <w:tcW w:w="2459" w:type="dxa"/>
          </w:tcPr>
          <w:p w:rsidR="00204383" w:rsidRPr="00204383" w:rsidRDefault="00204383" w:rsidP="007F4F82">
            <w:pPr>
              <w:jc w:val="both"/>
              <w:rPr>
                <w:rFonts w:ascii="Times New Roman" w:hAnsi="Times New Roman" w:cs="Times New Roman"/>
                <w:sz w:val="24"/>
                <w:szCs w:val="24"/>
              </w:rPr>
            </w:pPr>
            <w:r w:rsidRPr="00204383">
              <w:rPr>
                <w:rFonts w:ascii="Times New Roman" w:hAnsi="Times New Roman" w:cs="Times New Roman"/>
                <w:sz w:val="24"/>
                <w:szCs w:val="24"/>
              </w:rPr>
              <w:t>0.00</w:t>
            </w:r>
          </w:p>
        </w:tc>
        <w:tc>
          <w:tcPr>
            <w:tcW w:w="2459" w:type="dxa"/>
            <w:vMerge/>
          </w:tcPr>
          <w:p w:rsidR="00204383" w:rsidRPr="00204383" w:rsidRDefault="00204383" w:rsidP="007F4F82">
            <w:pPr>
              <w:jc w:val="both"/>
              <w:rPr>
                <w:rFonts w:ascii="Times New Roman" w:hAnsi="Times New Roman" w:cs="Times New Roman"/>
                <w:sz w:val="24"/>
                <w:szCs w:val="24"/>
              </w:rPr>
            </w:pPr>
          </w:p>
        </w:tc>
      </w:tr>
    </w:tbl>
    <w:p w:rsidR="00204383" w:rsidRPr="00204383" w:rsidRDefault="00204383" w:rsidP="007F4F82">
      <w:pPr>
        <w:spacing w:after="0"/>
        <w:jc w:val="both"/>
        <w:rPr>
          <w:rFonts w:ascii="Times New Roman" w:hAnsi="Times New Roman" w:cs="Times New Roman"/>
          <w:b/>
          <w:sz w:val="24"/>
          <w:szCs w:val="24"/>
        </w:rPr>
      </w:pPr>
    </w:p>
    <w:p w:rsidR="00204383" w:rsidRPr="00204383" w:rsidRDefault="00204383" w:rsidP="007F4F82">
      <w:pPr>
        <w:spacing w:after="0"/>
        <w:jc w:val="both"/>
        <w:rPr>
          <w:rFonts w:ascii="Times New Roman" w:hAnsi="Times New Roman" w:cs="Times New Roman"/>
          <w:sz w:val="24"/>
          <w:szCs w:val="24"/>
        </w:rPr>
      </w:pPr>
      <w:r w:rsidRPr="00204383">
        <w:rPr>
          <w:rFonts w:ascii="Times New Roman" w:hAnsi="Times New Roman" w:cs="Times New Roman"/>
          <w:sz w:val="24"/>
          <w:szCs w:val="24"/>
        </w:rPr>
        <w:t>(3) Bu madde kapsamında değerlendirilen öğrencilerin mezuniyet için gerekli not ortalaması 2,30’dur.</w:t>
      </w:r>
    </w:p>
    <w:p w:rsidR="00204383" w:rsidRPr="00204383" w:rsidRDefault="00204383" w:rsidP="007F4F82">
      <w:pPr>
        <w:spacing w:after="0"/>
        <w:jc w:val="both"/>
        <w:rPr>
          <w:rFonts w:ascii="Times New Roman" w:hAnsi="Times New Roman" w:cs="Times New Roman"/>
          <w:sz w:val="24"/>
          <w:szCs w:val="24"/>
        </w:rPr>
      </w:pPr>
      <w:r w:rsidRPr="00204383">
        <w:rPr>
          <w:rFonts w:ascii="Times New Roman" w:hAnsi="Times New Roman" w:cs="Times New Roman"/>
          <w:sz w:val="24"/>
          <w:szCs w:val="24"/>
        </w:rPr>
        <w:t>(4) Koşullu geçer notların başarılı kabul edilebilmesi için öğrencilerin akademik ortalamasının mezuniyet öncesinde 2,30 olması gerekir.</w:t>
      </w:r>
    </w:p>
    <w:p w:rsidR="00204383" w:rsidRDefault="00204383" w:rsidP="007F4F82">
      <w:pPr>
        <w:spacing w:after="0"/>
        <w:jc w:val="both"/>
        <w:rPr>
          <w:rFonts w:ascii="Times New Roman" w:hAnsi="Times New Roman" w:cs="Times New Roman"/>
          <w:b/>
          <w:sz w:val="24"/>
          <w:szCs w:val="24"/>
        </w:rPr>
      </w:pPr>
    </w:p>
    <w:p w:rsidR="00204383" w:rsidRPr="00204383" w:rsidRDefault="00204383" w:rsidP="007F4F82">
      <w:pPr>
        <w:spacing w:after="0"/>
        <w:jc w:val="both"/>
        <w:rPr>
          <w:rFonts w:ascii="Times New Roman" w:hAnsi="Times New Roman" w:cs="Times New Roman"/>
          <w:b/>
          <w:sz w:val="24"/>
          <w:szCs w:val="24"/>
        </w:rPr>
      </w:pPr>
      <w:r w:rsidRPr="00204383">
        <w:rPr>
          <w:rFonts w:ascii="Times New Roman" w:hAnsi="Times New Roman" w:cs="Times New Roman"/>
          <w:b/>
          <w:sz w:val="24"/>
          <w:szCs w:val="24"/>
        </w:rPr>
        <w:t>Başarı notu dönüşümleri</w:t>
      </w:r>
    </w:p>
    <w:p w:rsidR="00204383" w:rsidRPr="00204383" w:rsidRDefault="00204383" w:rsidP="007F4F82">
      <w:pPr>
        <w:spacing w:after="0"/>
        <w:jc w:val="both"/>
        <w:rPr>
          <w:rFonts w:ascii="Times New Roman" w:hAnsi="Times New Roman" w:cs="Times New Roman"/>
          <w:sz w:val="24"/>
          <w:szCs w:val="24"/>
        </w:rPr>
      </w:pPr>
      <w:r w:rsidRPr="00204383">
        <w:rPr>
          <w:rFonts w:ascii="Times New Roman" w:hAnsi="Times New Roman" w:cs="Times New Roman"/>
          <w:b/>
          <w:sz w:val="24"/>
          <w:szCs w:val="24"/>
        </w:rPr>
        <w:t>Madde 8</w:t>
      </w:r>
      <w:r w:rsidRPr="00204383">
        <w:rPr>
          <w:rFonts w:ascii="Times New Roman" w:hAnsi="Times New Roman" w:cs="Times New Roman"/>
          <w:sz w:val="24"/>
          <w:szCs w:val="24"/>
        </w:rPr>
        <w:t xml:space="preserve"> –  (1) Başka bir üniversitede alınan bir dersin Üniversitede bir derse eşdeğer/muaf sayıl</w:t>
      </w:r>
      <w:r w:rsidR="00B25F2C">
        <w:rPr>
          <w:rFonts w:ascii="Times New Roman" w:hAnsi="Times New Roman" w:cs="Times New Roman"/>
          <w:sz w:val="24"/>
          <w:szCs w:val="24"/>
        </w:rPr>
        <w:t>ması durumunda, bu yönergenin 6’ncı ve 7’</w:t>
      </w:r>
      <w:r w:rsidRPr="00204383">
        <w:rPr>
          <w:rFonts w:ascii="Times New Roman" w:hAnsi="Times New Roman" w:cs="Times New Roman"/>
          <w:sz w:val="24"/>
          <w:szCs w:val="24"/>
        </w:rPr>
        <w:t xml:space="preserve">nci maddelerindeki hükümlere tabi olan öğrenciler ayrı ayrı değerlendirilir. İlgili üniversitede alınan not bu maddenin diğer fıkralarında tanımlanan kurallar çerçevesinde başarı notlarına dönüştürülür. Başarı notlarının dönüşümünde Tablo 1 ve Tablo 2 kullanılır. </w:t>
      </w:r>
    </w:p>
    <w:p w:rsidR="00204383" w:rsidRPr="00204383" w:rsidRDefault="00204383" w:rsidP="007F4F82">
      <w:pPr>
        <w:spacing w:after="0"/>
        <w:jc w:val="both"/>
        <w:rPr>
          <w:rFonts w:ascii="Times New Roman" w:hAnsi="Times New Roman" w:cs="Times New Roman"/>
          <w:sz w:val="24"/>
          <w:szCs w:val="24"/>
        </w:rPr>
      </w:pPr>
      <w:r w:rsidRPr="00204383">
        <w:rPr>
          <w:rFonts w:ascii="Times New Roman" w:hAnsi="Times New Roman" w:cs="Times New Roman"/>
          <w:sz w:val="24"/>
          <w:szCs w:val="24"/>
        </w:rPr>
        <w:t>(2) Başka bir üniversitede alınan notlar, 100’lük not sistemine göre ise ya da 4’lük not sistemine göre harf/katsayı olarak verilmiş ve 100’lük not sistemine göre karşılığı açıkça not durum belgelerinde belirtilmişse, bu not öğrencinin başarı puanı kabul edilip ilgili tabloya göre başarı notu belirlenir.</w:t>
      </w:r>
    </w:p>
    <w:p w:rsidR="00204383" w:rsidRPr="00204383" w:rsidRDefault="00204383" w:rsidP="007F4F82">
      <w:pPr>
        <w:spacing w:after="0"/>
        <w:jc w:val="both"/>
        <w:rPr>
          <w:rFonts w:ascii="Times New Roman" w:hAnsi="Times New Roman" w:cs="Times New Roman"/>
          <w:sz w:val="24"/>
          <w:szCs w:val="24"/>
        </w:rPr>
      </w:pPr>
      <w:r w:rsidRPr="00204383">
        <w:rPr>
          <w:rFonts w:ascii="Times New Roman" w:hAnsi="Times New Roman" w:cs="Times New Roman"/>
          <w:sz w:val="24"/>
          <w:szCs w:val="24"/>
        </w:rPr>
        <w:t>(3) Başka bir üniversiteden alınan not 4’lük sisteme göre başarı notu katsayısı olarak verilmiş ise, bu notun karşılığı olan katsayının ilgili tablolardaki en yakın karşılığı öğrencinin başarı notu katsayısı olarak kabul edilir ve başarı notu olarak belirlenir.</w:t>
      </w:r>
    </w:p>
    <w:p w:rsidR="00204383" w:rsidRPr="00204383" w:rsidRDefault="00204383" w:rsidP="007F4F82">
      <w:pPr>
        <w:spacing w:after="0"/>
        <w:jc w:val="both"/>
        <w:rPr>
          <w:rFonts w:ascii="Times New Roman" w:hAnsi="Times New Roman" w:cs="Times New Roman"/>
          <w:sz w:val="24"/>
          <w:szCs w:val="24"/>
        </w:rPr>
      </w:pPr>
      <w:r w:rsidRPr="00204383">
        <w:rPr>
          <w:rFonts w:ascii="Times New Roman" w:hAnsi="Times New Roman" w:cs="Times New Roman"/>
          <w:sz w:val="24"/>
          <w:szCs w:val="24"/>
        </w:rPr>
        <w:t>(4) Diğer üniversitelerde geçer not alarak başarılı kabul</w:t>
      </w:r>
      <w:r w:rsidR="007F4F82">
        <w:rPr>
          <w:rFonts w:ascii="Times New Roman" w:hAnsi="Times New Roman" w:cs="Times New Roman"/>
          <w:sz w:val="24"/>
          <w:szCs w:val="24"/>
        </w:rPr>
        <w:t xml:space="preserve"> edilen öğrenciye bu maddenin 2’</w:t>
      </w:r>
      <w:r w:rsidRPr="00204383">
        <w:rPr>
          <w:rFonts w:ascii="Times New Roman" w:hAnsi="Times New Roman" w:cs="Times New Roman"/>
          <w:sz w:val="24"/>
          <w:szCs w:val="24"/>
        </w:rPr>
        <w:t>nci ve 3</w:t>
      </w:r>
      <w:r w:rsidR="007F4F82">
        <w:rPr>
          <w:rFonts w:ascii="Times New Roman" w:hAnsi="Times New Roman" w:cs="Times New Roman"/>
          <w:sz w:val="24"/>
          <w:szCs w:val="24"/>
        </w:rPr>
        <w:t>’</w:t>
      </w:r>
      <w:r w:rsidRPr="00204383">
        <w:rPr>
          <w:rFonts w:ascii="Times New Roman" w:hAnsi="Times New Roman" w:cs="Times New Roman"/>
          <w:sz w:val="24"/>
          <w:szCs w:val="24"/>
        </w:rPr>
        <w:t>üncü fıkralarına göre başarısız bir not verilmesi durumunda ilgili tablolara göre D2 başarı notu verilir.</w:t>
      </w:r>
    </w:p>
    <w:p w:rsidR="00204383" w:rsidRPr="00204383" w:rsidRDefault="00204383" w:rsidP="007F4F82">
      <w:pPr>
        <w:spacing w:after="0"/>
        <w:jc w:val="both"/>
        <w:rPr>
          <w:rFonts w:ascii="Times New Roman" w:hAnsi="Times New Roman" w:cs="Times New Roman"/>
          <w:sz w:val="24"/>
          <w:szCs w:val="24"/>
        </w:rPr>
      </w:pPr>
      <w:r w:rsidRPr="00204383">
        <w:rPr>
          <w:rFonts w:ascii="Times New Roman" w:hAnsi="Times New Roman" w:cs="Times New Roman"/>
          <w:sz w:val="24"/>
          <w:szCs w:val="24"/>
        </w:rPr>
        <w:t>(5) Diğer üniversitelerde devam alarak başarısız kabul</w:t>
      </w:r>
      <w:r w:rsidR="007F4F82">
        <w:rPr>
          <w:rFonts w:ascii="Times New Roman" w:hAnsi="Times New Roman" w:cs="Times New Roman"/>
          <w:sz w:val="24"/>
          <w:szCs w:val="24"/>
        </w:rPr>
        <w:t xml:space="preserve"> edilen öğrenciye bu maddenin 2’</w:t>
      </w:r>
      <w:r w:rsidRPr="00204383">
        <w:rPr>
          <w:rFonts w:ascii="Times New Roman" w:hAnsi="Times New Roman" w:cs="Times New Roman"/>
          <w:sz w:val="24"/>
          <w:szCs w:val="24"/>
        </w:rPr>
        <w:t>inci ve 3</w:t>
      </w:r>
      <w:r w:rsidR="007F4F82">
        <w:rPr>
          <w:rFonts w:ascii="Times New Roman" w:hAnsi="Times New Roman" w:cs="Times New Roman"/>
          <w:sz w:val="24"/>
          <w:szCs w:val="24"/>
        </w:rPr>
        <w:t>’</w:t>
      </w:r>
      <w:r w:rsidRPr="00204383">
        <w:rPr>
          <w:rFonts w:ascii="Times New Roman" w:hAnsi="Times New Roman" w:cs="Times New Roman"/>
          <w:sz w:val="24"/>
          <w:szCs w:val="24"/>
        </w:rPr>
        <w:t>üncü fıkralarına göre geçer not ya da koşullu geçer not verilmesi durumunda bu yönergenin 6</w:t>
      </w:r>
      <w:r w:rsidR="007F4F82">
        <w:rPr>
          <w:rFonts w:ascii="Times New Roman" w:hAnsi="Times New Roman" w:cs="Times New Roman"/>
          <w:sz w:val="24"/>
          <w:szCs w:val="24"/>
        </w:rPr>
        <w:t>’</w:t>
      </w:r>
      <w:r w:rsidRPr="00204383">
        <w:rPr>
          <w:rFonts w:ascii="Times New Roman" w:hAnsi="Times New Roman" w:cs="Times New Roman"/>
          <w:sz w:val="24"/>
          <w:szCs w:val="24"/>
        </w:rPr>
        <w:t>ncı maddesi kapsamında de</w:t>
      </w:r>
      <w:r w:rsidR="007F4F82">
        <w:rPr>
          <w:rFonts w:ascii="Times New Roman" w:hAnsi="Times New Roman" w:cs="Times New Roman"/>
          <w:sz w:val="24"/>
          <w:szCs w:val="24"/>
        </w:rPr>
        <w:t>ğerlendirilen öğrencilere F1, 7’</w:t>
      </w:r>
      <w:r w:rsidRPr="00204383">
        <w:rPr>
          <w:rFonts w:ascii="Times New Roman" w:hAnsi="Times New Roman" w:cs="Times New Roman"/>
          <w:sz w:val="24"/>
          <w:szCs w:val="24"/>
        </w:rPr>
        <w:t>nci maddesi kapsamında değerlendirilen öğrencilere E notu verilir.</w:t>
      </w:r>
    </w:p>
    <w:p w:rsidR="00204383" w:rsidRPr="00204383" w:rsidRDefault="00204383" w:rsidP="007F4F82">
      <w:pPr>
        <w:spacing w:after="0"/>
        <w:jc w:val="both"/>
        <w:rPr>
          <w:rFonts w:ascii="Times New Roman" w:hAnsi="Times New Roman" w:cs="Times New Roman"/>
          <w:sz w:val="24"/>
          <w:szCs w:val="24"/>
        </w:rPr>
      </w:pPr>
      <w:r w:rsidRPr="00204383">
        <w:rPr>
          <w:rFonts w:ascii="Times New Roman" w:hAnsi="Times New Roman" w:cs="Times New Roman"/>
          <w:sz w:val="24"/>
          <w:szCs w:val="24"/>
        </w:rPr>
        <w:t>(6) Bu madde esaslarına göre belirlenen başarı notu dönüşümleri, ilgili yönetim kurulu kararı ile otomasyon sistemine kaydedilir.</w:t>
      </w:r>
    </w:p>
    <w:p w:rsidR="00204383" w:rsidRDefault="00204383" w:rsidP="007F4F82">
      <w:pPr>
        <w:spacing w:after="0"/>
        <w:jc w:val="both"/>
        <w:rPr>
          <w:rFonts w:ascii="Times New Roman" w:hAnsi="Times New Roman" w:cs="Times New Roman"/>
          <w:b/>
          <w:bCs/>
          <w:sz w:val="24"/>
          <w:szCs w:val="24"/>
        </w:rPr>
      </w:pPr>
    </w:p>
    <w:p w:rsidR="005E1223" w:rsidRDefault="005E1223" w:rsidP="007F4F82">
      <w:pPr>
        <w:spacing w:after="0"/>
        <w:jc w:val="both"/>
        <w:rPr>
          <w:rFonts w:ascii="Times New Roman" w:hAnsi="Times New Roman" w:cs="Times New Roman"/>
          <w:b/>
          <w:bCs/>
          <w:sz w:val="24"/>
          <w:szCs w:val="24"/>
        </w:rPr>
      </w:pPr>
    </w:p>
    <w:p w:rsidR="00204383" w:rsidRPr="00204383" w:rsidRDefault="00204383" w:rsidP="007F4F82">
      <w:pPr>
        <w:spacing w:after="0"/>
        <w:jc w:val="both"/>
        <w:rPr>
          <w:rFonts w:ascii="Times New Roman" w:hAnsi="Times New Roman" w:cs="Times New Roman"/>
          <w:sz w:val="24"/>
          <w:szCs w:val="24"/>
        </w:rPr>
      </w:pPr>
      <w:r w:rsidRPr="00204383">
        <w:rPr>
          <w:rFonts w:ascii="Times New Roman" w:hAnsi="Times New Roman" w:cs="Times New Roman"/>
          <w:b/>
          <w:bCs/>
          <w:sz w:val="24"/>
          <w:szCs w:val="24"/>
        </w:rPr>
        <w:lastRenderedPageBreak/>
        <w:t xml:space="preserve">Hüküm bulunmayan haller </w:t>
      </w:r>
    </w:p>
    <w:p w:rsidR="00204383" w:rsidRPr="00204383" w:rsidRDefault="00204383" w:rsidP="007F4F82">
      <w:pPr>
        <w:spacing w:after="0"/>
        <w:jc w:val="both"/>
        <w:rPr>
          <w:rFonts w:ascii="Times New Roman" w:hAnsi="Times New Roman" w:cs="Times New Roman"/>
          <w:sz w:val="24"/>
          <w:szCs w:val="24"/>
        </w:rPr>
      </w:pPr>
      <w:r w:rsidRPr="00204383">
        <w:rPr>
          <w:rFonts w:ascii="Times New Roman" w:hAnsi="Times New Roman" w:cs="Times New Roman"/>
          <w:b/>
          <w:bCs/>
          <w:sz w:val="24"/>
          <w:szCs w:val="24"/>
        </w:rPr>
        <w:t xml:space="preserve">Madde 9 – </w:t>
      </w:r>
      <w:r w:rsidRPr="00204383">
        <w:rPr>
          <w:rFonts w:ascii="Times New Roman" w:hAnsi="Times New Roman" w:cs="Times New Roman"/>
          <w:sz w:val="24"/>
          <w:szCs w:val="24"/>
        </w:rPr>
        <w:t>(1) Bu yönergede hüküm bulunmayan durumlarda Pamukkale Üniversitesi Önlisans, Lisans Eğitim ve Öğretim Yönetmeliği hükümleri, Senato ve ilgili kurul kararları uygulanır.</w:t>
      </w:r>
    </w:p>
    <w:p w:rsidR="005E1223" w:rsidRDefault="005E1223" w:rsidP="007F4F82">
      <w:pPr>
        <w:spacing w:after="0"/>
        <w:jc w:val="both"/>
        <w:rPr>
          <w:rFonts w:ascii="Times New Roman" w:hAnsi="Times New Roman" w:cs="Times New Roman"/>
          <w:b/>
          <w:bCs/>
          <w:sz w:val="24"/>
          <w:szCs w:val="24"/>
        </w:rPr>
      </w:pPr>
    </w:p>
    <w:p w:rsidR="00204383" w:rsidRPr="00204383" w:rsidRDefault="00204383" w:rsidP="007F4F82">
      <w:pPr>
        <w:spacing w:after="0"/>
        <w:jc w:val="both"/>
        <w:rPr>
          <w:rFonts w:ascii="Times New Roman" w:hAnsi="Times New Roman" w:cs="Times New Roman"/>
          <w:sz w:val="24"/>
          <w:szCs w:val="24"/>
        </w:rPr>
      </w:pPr>
      <w:r w:rsidRPr="00204383">
        <w:rPr>
          <w:rFonts w:ascii="Times New Roman" w:hAnsi="Times New Roman" w:cs="Times New Roman"/>
          <w:b/>
          <w:bCs/>
          <w:sz w:val="24"/>
          <w:szCs w:val="24"/>
        </w:rPr>
        <w:t>Yürürlükten kaldırılan yönerge</w:t>
      </w:r>
    </w:p>
    <w:p w:rsidR="00204383" w:rsidRPr="00204383" w:rsidRDefault="00204383" w:rsidP="007F4F82">
      <w:pPr>
        <w:spacing w:after="0"/>
        <w:jc w:val="both"/>
        <w:rPr>
          <w:rFonts w:ascii="Times New Roman" w:hAnsi="Times New Roman" w:cs="Times New Roman"/>
          <w:sz w:val="24"/>
          <w:szCs w:val="24"/>
        </w:rPr>
      </w:pPr>
      <w:r w:rsidRPr="00204383">
        <w:rPr>
          <w:rFonts w:ascii="Times New Roman" w:hAnsi="Times New Roman" w:cs="Times New Roman"/>
          <w:b/>
          <w:bCs/>
          <w:sz w:val="24"/>
          <w:szCs w:val="24"/>
        </w:rPr>
        <w:t xml:space="preserve">Madde </w:t>
      </w:r>
      <w:r w:rsidR="00AB2A59">
        <w:rPr>
          <w:rFonts w:ascii="Times New Roman" w:hAnsi="Times New Roman" w:cs="Times New Roman"/>
          <w:b/>
          <w:bCs/>
          <w:sz w:val="24"/>
          <w:szCs w:val="24"/>
        </w:rPr>
        <w:t>10</w:t>
      </w:r>
      <w:r w:rsidRPr="00204383">
        <w:rPr>
          <w:rFonts w:ascii="Times New Roman" w:hAnsi="Times New Roman" w:cs="Times New Roman"/>
          <w:b/>
          <w:bCs/>
          <w:sz w:val="24"/>
          <w:szCs w:val="24"/>
        </w:rPr>
        <w:t xml:space="preserve"> – </w:t>
      </w:r>
      <w:r w:rsidRPr="00204383">
        <w:rPr>
          <w:rFonts w:ascii="Times New Roman" w:hAnsi="Times New Roman" w:cs="Times New Roman"/>
          <w:sz w:val="24"/>
          <w:szCs w:val="24"/>
        </w:rPr>
        <w:t>(1) Senato tarafından 23/11/2018 tarih</w:t>
      </w:r>
      <w:r w:rsidR="007F4F82">
        <w:rPr>
          <w:rFonts w:ascii="Times New Roman" w:hAnsi="Times New Roman" w:cs="Times New Roman"/>
          <w:sz w:val="24"/>
          <w:szCs w:val="24"/>
        </w:rPr>
        <w:t>li</w:t>
      </w:r>
      <w:r w:rsidRPr="00204383">
        <w:rPr>
          <w:rFonts w:ascii="Times New Roman" w:hAnsi="Times New Roman" w:cs="Times New Roman"/>
          <w:sz w:val="24"/>
          <w:szCs w:val="24"/>
        </w:rPr>
        <w:t xml:space="preserve"> ve 18/4 sayılı kararı ile kabul edilen Pamukkale Üniversitesi Sınav Ve Başarı Değerlendirme Sistemi Yönergesi</w:t>
      </w:r>
      <w:r w:rsidRPr="00204383">
        <w:rPr>
          <w:rFonts w:ascii="Times New Roman" w:hAnsi="Times New Roman" w:cs="Times New Roman"/>
          <w:sz w:val="24"/>
          <w:szCs w:val="24"/>
          <w:vertAlign w:val="superscript"/>
        </w:rPr>
        <w:t xml:space="preserve"> </w:t>
      </w:r>
      <w:r w:rsidRPr="00204383">
        <w:rPr>
          <w:rFonts w:ascii="Times New Roman" w:hAnsi="Times New Roman" w:cs="Times New Roman"/>
          <w:sz w:val="24"/>
          <w:szCs w:val="24"/>
        </w:rPr>
        <w:t>yürürlükten kaldırılmıştır.</w:t>
      </w:r>
    </w:p>
    <w:p w:rsidR="005E1223" w:rsidRDefault="005E1223" w:rsidP="007F4F82">
      <w:pPr>
        <w:spacing w:after="0"/>
        <w:jc w:val="both"/>
        <w:rPr>
          <w:rFonts w:ascii="Times New Roman" w:hAnsi="Times New Roman" w:cs="Times New Roman"/>
          <w:b/>
          <w:bCs/>
          <w:sz w:val="24"/>
          <w:szCs w:val="24"/>
        </w:rPr>
      </w:pPr>
    </w:p>
    <w:p w:rsidR="00204383" w:rsidRPr="00204383" w:rsidRDefault="00204383" w:rsidP="007F4F82">
      <w:pPr>
        <w:spacing w:after="0"/>
        <w:jc w:val="both"/>
        <w:rPr>
          <w:rFonts w:ascii="Times New Roman" w:hAnsi="Times New Roman" w:cs="Times New Roman"/>
          <w:sz w:val="24"/>
          <w:szCs w:val="24"/>
        </w:rPr>
      </w:pPr>
      <w:r w:rsidRPr="00204383">
        <w:rPr>
          <w:rFonts w:ascii="Times New Roman" w:hAnsi="Times New Roman" w:cs="Times New Roman"/>
          <w:b/>
          <w:bCs/>
          <w:sz w:val="24"/>
          <w:szCs w:val="24"/>
        </w:rPr>
        <w:t xml:space="preserve">Yürürlük </w:t>
      </w:r>
    </w:p>
    <w:p w:rsidR="00204383" w:rsidRPr="00204383" w:rsidRDefault="00AB2A59" w:rsidP="007F4F82">
      <w:pPr>
        <w:spacing w:after="0"/>
        <w:jc w:val="both"/>
        <w:rPr>
          <w:rFonts w:ascii="Times New Roman" w:hAnsi="Times New Roman" w:cs="Times New Roman"/>
          <w:sz w:val="24"/>
          <w:szCs w:val="24"/>
        </w:rPr>
      </w:pPr>
      <w:r>
        <w:rPr>
          <w:rFonts w:ascii="Times New Roman" w:hAnsi="Times New Roman" w:cs="Times New Roman"/>
          <w:b/>
          <w:bCs/>
          <w:sz w:val="24"/>
          <w:szCs w:val="24"/>
        </w:rPr>
        <w:t>Madde 11</w:t>
      </w:r>
      <w:r w:rsidR="00204383" w:rsidRPr="00204383">
        <w:rPr>
          <w:rFonts w:ascii="Times New Roman" w:hAnsi="Times New Roman" w:cs="Times New Roman"/>
          <w:b/>
          <w:bCs/>
          <w:sz w:val="24"/>
          <w:szCs w:val="24"/>
        </w:rPr>
        <w:t>–</w:t>
      </w:r>
      <w:r w:rsidR="00204383" w:rsidRPr="00204383">
        <w:rPr>
          <w:rFonts w:ascii="Times New Roman" w:hAnsi="Times New Roman" w:cs="Times New Roman"/>
          <w:sz w:val="24"/>
          <w:szCs w:val="24"/>
        </w:rPr>
        <w:t xml:space="preserve">(1) Bu Yönerge, 20.09.2021 tarihinden itibaren yürürlüğe girer. </w:t>
      </w:r>
    </w:p>
    <w:p w:rsidR="005E1223" w:rsidRDefault="005E1223" w:rsidP="007F4F82">
      <w:pPr>
        <w:spacing w:after="0"/>
        <w:jc w:val="both"/>
        <w:rPr>
          <w:rFonts w:ascii="Times New Roman" w:hAnsi="Times New Roman" w:cs="Times New Roman"/>
          <w:b/>
          <w:bCs/>
          <w:sz w:val="24"/>
          <w:szCs w:val="24"/>
        </w:rPr>
      </w:pPr>
    </w:p>
    <w:p w:rsidR="00204383" w:rsidRPr="00204383" w:rsidRDefault="00204383" w:rsidP="007F4F82">
      <w:pPr>
        <w:spacing w:after="0"/>
        <w:jc w:val="both"/>
        <w:rPr>
          <w:rFonts w:ascii="Times New Roman" w:hAnsi="Times New Roman" w:cs="Times New Roman"/>
          <w:sz w:val="24"/>
          <w:szCs w:val="24"/>
        </w:rPr>
      </w:pPr>
      <w:r w:rsidRPr="00204383">
        <w:rPr>
          <w:rFonts w:ascii="Times New Roman" w:hAnsi="Times New Roman" w:cs="Times New Roman"/>
          <w:b/>
          <w:bCs/>
          <w:sz w:val="24"/>
          <w:szCs w:val="24"/>
        </w:rPr>
        <w:t xml:space="preserve">Yürütme </w:t>
      </w:r>
    </w:p>
    <w:p w:rsidR="00204383" w:rsidRPr="00204383" w:rsidRDefault="00AB2A59" w:rsidP="007F4F82">
      <w:pPr>
        <w:spacing w:after="0"/>
        <w:jc w:val="both"/>
        <w:rPr>
          <w:rFonts w:ascii="Times New Roman" w:hAnsi="Times New Roman" w:cs="Times New Roman"/>
          <w:b/>
          <w:sz w:val="24"/>
          <w:szCs w:val="24"/>
        </w:rPr>
      </w:pPr>
      <w:r>
        <w:rPr>
          <w:rFonts w:ascii="Times New Roman" w:hAnsi="Times New Roman" w:cs="Times New Roman"/>
          <w:b/>
          <w:bCs/>
          <w:sz w:val="24"/>
          <w:szCs w:val="24"/>
        </w:rPr>
        <w:t>Madde 12</w:t>
      </w:r>
      <w:r w:rsidR="00204383" w:rsidRPr="00204383">
        <w:rPr>
          <w:rFonts w:ascii="Times New Roman" w:hAnsi="Times New Roman" w:cs="Times New Roman"/>
          <w:b/>
          <w:bCs/>
          <w:sz w:val="24"/>
          <w:szCs w:val="24"/>
        </w:rPr>
        <w:t xml:space="preserve"> –</w:t>
      </w:r>
      <w:r w:rsidR="00204383" w:rsidRPr="00204383">
        <w:rPr>
          <w:rFonts w:ascii="Times New Roman" w:hAnsi="Times New Roman" w:cs="Times New Roman"/>
          <w:sz w:val="24"/>
          <w:szCs w:val="24"/>
        </w:rPr>
        <w:t>(1) Bu Yönerge hükümlerini Pamukkale Üniversitesi Rektörü yürütür.</w:t>
      </w:r>
    </w:p>
    <w:p w:rsidR="00204383" w:rsidRPr="00204383" w:rsidRDefault="00204383" w:rsidP="007F4F82">
      <w:pPr>
        <w:jc w:val="both"/>
        <w:rPr>
          <w:rFonts w:ascii="Times New Roman" w:hAnsi="Times New Roman" w:cs="Times New Roman"/>
          <w:b/>
          <w:sz w:val="24"/>
          <w:szCs w:val="24"/>
        </w:rPr>
      </w:pPr>
    </w:p>
    <w:p w:rsidR="0086461C" w:rsidRPr="00415FDF" w:rsidRDefault="00415FDF" w:rsidP="00415FDF">
      <w:pPr>
        <w:shd w:val="clear" w:color="auto" w:fill="FFFFFF" w:themeFill="background1"/>
        <w:spacing w:after="0" w:line="240" w:lineRule="auto"/>
        <w:contextualSpacing/>
        <w:jc w:val="both"/>
        <w:rPr>
          <w:rFonts w:cs="Times New Roman"/>
          <w:sz w:val="18"/>
          <w:szCs w:val="18"/>
        </w:rPr>
      </w:pPr>
      <w:r>
        <w:rPr>
          <w:rFonts w:cs="Times New Roman"/>
          <w:color w:val="FF0000"/>
          <w:sz w:val="18"/>
          <w:szCs w:val="18"/>
          <w:vertAlign w:val="superscript"/>
        </w:rPr>
        <w:t>1</w:t>
      </w:r>
      <w:r>
        <w:rPr>
          <w:rFonts w:cs="Times New Roman"/>
          <w:color w:val="FF0000"/>
          <w:sz w:val="18"/>
          <w:szCs w:val="18"/>
        </w:rPr>
        <w:t xml:space="preserve">Üniversite Senatosunun </w:t>
      </w:r>
      <w:r>
        <w:rPr>
          <w:rFonts w:cs="Times New Roman"/>
          <w:color w:val="FF0000"/>
          <w:sz w:val="18"/>
          <w:szCs w:val="18"/>
        </w:rPr>
        <w:t>17.09.</w:t>
      </w:r>
      <w:r>
        <w:rPr>
          <w:rFonts w:cs="Times New Roman"/>
          <w:color w:val="FF0000"/>
          <w:sz w:val="18"/>
          <w:szCs w:val="18"/>
        </w:rPr>
        <w:t>202</w:t>
      </w:r>
      <w:r>
        <w:rPr>
          <w:rFonts w:cs="Times New Roman"/>
          <w:color w:val="FF0000"/>
          <w:sz w:val="18"/>
          <w:szCs w:val="18"/>
        </w:rPr>
        <w:t>1</w:t>
      </w:r>
      <w:r>
        <w:rPr>
          <w:rFonts w:cs="Times New Roman"/>
          <w:color w:val="FF0000"/>
          <w:sz w:val="18"/>
          <w:szCs w:val="18"/>
        </w:rPr>
        <w:t xml:space="preserve"> tarihli ve </w:t>
      </w:r>
      <w:r>
        <w:rPr>
          <w:rFonts w:cs="Times New Roman"/>
          <w:color w:val="FF0000"/>
          <w:sz w:val="18"/>
          <w:szCs w:val="18"/>
        </w:rPr>
        <w:t xml:space="preserve">17/2 </w:t>
      </w:r>
      <w:bookmarkStart w:id="0" w:name="_GoBack"/>
      <w:bookmarkEnd w:id="0"/>
      <w:r>
        <w:rPr>
          <w:rFonts w:cs="Times New Roman"/>
          <w:color w:val="FF0000"/>
          <w:sz w:val="18"/>
          <w:szCs w:val="18"/>
        </w:rPr>
        <w:t>sayılı kararı ile kabul edilmiştir.</w:t>
      </w:r>
    </w:p>
    <w:sectPr w:rsidR="0086461C" w:rsidRPr="00415FDF" w:rsidSect="00581631">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2486"/>
    <w:multiLevelType w:val="hybridMultilevel"/>
    <w:tmpl w:val="E6FE4C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E5142D"/>
    <w:multiLevelType w:val="hybridMultilevel"/>
    <w:tmpl w:val="D034E7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EA6D5E"/>
    <w:multiLevelType w:val="hybridMultilevel"/>
    <w:tmpl w:val="677678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957748"/>
    <w:multiLevelType w:val="hybridMultilevel"/>
    <w:tmpl w:val="CB8A111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791405"/>
    <w:multiLevelType w:val="hybridMultilevel"/>
    <w:tmpl w:val="53900D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A2432B"/>
    <w:multiLevelType w:val="hybridMultilevel"/>
    <w:tmpl w:val="53900D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B71462"/>
    <w:multiLevelType w:val="hybridMultilevel"/>
    <w:tmpl w:val="52A4F63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535554E"/>
    <w:multiLevelType w:val="hybridMultilevel"/>
    <w:tmpl w:val="677678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2"/>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2A"/>
    <w:rsid w:val="00025E76"/>
    <w:rsid w:val="000F7C72"/>
    <w:rsid w:val="00131940"/>
    <w:rsid w:val="0016712A"/>
    <w:rsid w:val="001C7756"/>
    <w:rsid w:val="00204383"/>
    <w:rsid w:val="002578C3"/>
    <w:rsid w:val="002717F6"/>
    <w:rsid w:val="00287023"/>
    <w:rsid w:val="002C1A5D"/>
    <w:rsid w:val="00307146"/>
    <w:rsid w:val="003205EC"/>
    <w:rsid w:val="00343815"/>
    <w:rsid w:val="003E6972"/>
    <w:rsid w:val="00415FDF"/>
    <w:rsid w:val="0049465D"/>
    <w:rsid w:val="00505383"/>
    <w:rsid w:val="00581631"/>
    <w:rsid w:val="00593AA1"/>
    <w:rsid w:val="005B7F29"/>
    <w:rsid w:val="005E1223"/>
    <w:rsid w:val="0069675D"/>
    <w:rsid w:val="006F7718"/>
    <w:rsid w:val="00777CC1"/>
    <w:rsid w:val="007A59AD"/>
    <w:rsid w:val="007B279C"/>
    <w:rsid w:val="007F4F82"/>
    <w:rsid w:val="00831DD6"/>
    <w:rsid w:val="0086461C"/>
    <w:rsid w:val="008D77B0"/>
    <w:rsid w:val="008F015C"/>
    <w:rsid w:val="008F2626"/>
    <w:rsid w:val="008F3497"/>
    <w:rsid w:val="008F45C1"/>
    <w:rsid w:val="0092622A"/>
    <w:rsid w:val="00944711"/>
    <w:rsid w:val="00980A4F"/>
    <w:rsid w:val="009855A7"/>
    <w:rsid w:val="009B73EC"/>
    <w:rsid w:val="00A105C9"/>
    <w:rsid w:val="00A112DA"/>
    <w:rsid w:val="00A12A51"/>
    <w:rsid w:val="00A147C0"/>
    <w:rsid w:val="00A61D24"/>
    <w:rsid w:val="00A6734B"/>
    <w:rsid w:val="00AB2A59"/>
    <w:rsid w:val="00AC2768"/>
    <w:rsid w:val="00AE2ABD"/>
    <w:rsid w:val="00B10ABA"/>
    <w:rsid w:val="00B25F2C"/>
    <w:rsid w:val="00B936B5"/>
    <w:rsid w:val="00BB2AA1"/>
    <w:rsid w:val="00BE795E"/>
    <w:rsid w:val="00C16B02"/>
    <w:rsid w:val="00CB1357"/>
    <w:rsid w:val="00CB2722"/>
    <w:rsid w:val="00D11472"/>
    <w:rsid w:val="00D139CA"/>
    <w:rsid w:val="00DA159E"/>
    <w:rsid w:val="00E02099"/>
    <w:rsid w:val="00E42F01"/>
    <w:rsid w:val="00E55C8C"/>
    <w:rsid w:val="00E605AE"/>
    <w:rsid w:val="00E60608"/>
    <w:rsid w:val="00EB4FA6"/>
    <w:rsid w:val="00EB698A"/>
    <w:rsid w:val="00F265CB"/>
    <w:rsid w:val="00F276DA"/>
    <w:rsid w:val="00FA77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5299"/>
  <w15:chartTrackingRefBased/>
  <w15:docId w15:val="{FD3C1329-85D7-4CF6-9A04-8D6DF86B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2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26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622A"/>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2622A"/>
    <w:pPr>
      <w:ind w:left="720"/>
      <w:contextualSpacing/>
    </w:pPr>
  </w:style>
  <w:style w:type="table" w:customStyle="1" w:styleId="TabloKlavuzu1">
    <w:name w:val="Tablo Kılavuzu1"/>
    <w:basedOn w:val="NormalTablo"/>
    <w:next w:val="TabloKlavuzu"/>
    <w:uiPriority w:val="59"/>
    <w:rsid w:val="009262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AC2768"/>
    <w:rPr>
      <w:color w:val="808080"/>
    </w:rPr>
  </w:style>
  <w:style w:type="paragraph" w:styleId="BalonMetni">
    <w:name w:val="Balloon Text"/>
    <w:basedOn w:val="Normal"/>
    <w:link w:val="BalonMetniChar"/>
    <w:uiPriority w:val="99"/>
    <w:semiHidden/>
    <w:unhideWhenUsed/>
    <w:rsid w:val="00AE2AB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2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1562</Words>
  <Characters>8909</Characters>
  <Application>Microsoft Office Word</Application>
  <DocSecurity>0</DocSecurity>
  <Lines>74</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Pau</cp:lastModifiedBy>
  <cp:revision>3</cp:revision>
  <cp:lastPrinted>2021-09-30T14:27:00Z</cp:lastPrinted>
  <dcterms:created xsi:type="dcterms:W3CDTF">2021-10-06T10:39:00Z</dcterms:created>
  <dcterms:modified xsi:type="dcterms:W3CDTF">2022-06-28T08:25:00Z</dcterms:modified>
</cp:coreProperties>
</file>